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24"/>
          <w:szCs w:val="24"/>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425"/>
      <w:bookmarkStart w:id="3" w:name="_Toc15396475"/>
      <w:bookmarkStart w:id="4" w:name="_Toc15396597"/>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476"/>
      <w:bookmarkStart w:id="8" w:name="_Toc15378442"/>
      <w:bookmarkStart w:id="9" w:name="_Toc15377194"/>
      <w:bookmarkStart w:id="10" w:name="_Toc15396598"/>
      <w:r>
        <w:rPr>
          <w:rFonts w:hint="eastAsia" w:ascii="方正小标宋简体" w:hAnsi="宋体" w:eastAsia="方正小标宋简体"/>
          <w:color w:val="000000"/>
          <w:sz w:val="72"/>
          <w:szCs w:val="72"/>
        </w:rPr>
        <w:t>四川省</w:t>
      </w:r>
      <w:bookmarkStart w:id="11" w:name="_Toc15306268"/>
      <w:r>
        <w:rPr>
          <w:rFonts w:hint="eastAsia" w:ascii="方正小标宋简体" w:hAnsi="宋体" w:eastAsia="方正小标宋简体"/>
          <w:color w:val="000000"/>
          <w:sz w:val="72"/>
          <w:szCs w:val="72"/>
        </w:rPr>
        <w:t>地矿局九0九队</w:t>
      </w:r>
    </w:p>
    <w:p>
      <w:pPr>
        <w:widowControl/>
        <w:jc w:val="center"/>
        <w:rPr>
          <w:rFonts w:ascii="黑体" w:hAnsi="黑体" w:eastAsia="黑体"/>
          <w:color w:val="auto"/>
          <w:sz w:val="48"/>
          <w:szCs w:val="48"/>
          <w:highlight w:val="none"/>
        </w:rPr>
      </w:pPr>
      <w:r>
        <w:rPr>
          <w:rFonts w:hint="eastAsia" w:ascii="方正小标宋简体" w:hAnsi="宋体" w:eastAsia="方正小标宋简体"/>
          <w:color w:val="000000"/>
          <w:sz w:val="72"/>
          <w:szCs w:val="72"/>
        </w:rPr>
        <w:t>单位决算</w:t>
      </w:r>
      <w:bookmarkEnd w:id="6"/>
      <w:bookmarkEnd w:id="7"/>
      <w:bookmarkEnd w:id="8"/>
      <w:bookmarkEnd w:id="9"/>
      <w:bookmarkEnd w:id="10"/>
      <w:bookmarkEnd w:id="11"/>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rPr>
          <w:color w:val="auto"/>
          <w:highlight w:val="none"/>
        </w:rPr>
      </w:pPr>
    </w:p>
    <w:p>
      <w:pPr>
        <w:pStyle w:val="10"/>
        <w:adjustRightInd w:val="0"/>
        <w:snapToGrid w:val="0"/>
        <w:spacing w:before="0"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第一部分 </w:t>
      </w:r>
      <w:r>
        <w:rPr>
          <w:rFonts w:hint="eastAsia" w:ascii="仿宋_GB2312" w:hAnsi="仿宋_GB2312" w:eastAsia="仿宋_GB2312" w:cs="仿宋_GB2312"/>
          <w:color w:val="auto"/>
          <w:sz w:val="24"/>
          <w:szCs w:val="24"/>
          <w:highlight w:val="none"/>
          <w:lang w:eastAsia="zh-CN"/>
        </w:rPr>
        <w:t>单位</w:t>
      </w:r>
      <w:r>
        <w:rPr>
          <w:rFonts w:hint="eastAsia" w:ascii="仿宋_GB2312" w:hAnsi="仿宋_GB2312" w:eastAsia="仿宋_GB2312" w:cs="仿宋_GB2312"/>
          <w:color w:val="auto"/>
          <w:sz w:val="24"/>
          <w:szCs w:val="24"/>
          <w:highlight w:val="none"/>
        </w:rPr>
        <w:t>概况</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一、职能</w:t>
      </w:r>
      <w:r>
        <w:rPr>
          <w:rFonts w:hint="eastAsia" w:ascii="仿宋_GB2312" w:hAnsi="仿宋_GB2312" w:eastAsia="仿宋_GB2312" w:cs="仿宋_GB2312"/>
          <w:color w:val="auto"/>
          <w:sz w:val="24"/>
          <w:szCs w:val="24"/>
          <w:highlight w:val="none"/>
          <w:lang w:eastAsia="zh-CN"/>
        </w:rPr>
        <w:t>简介</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4</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二、</w:t>
      </w:r>
      <w:r>
        <w:rPr>
          <w:rFonts w:hint="eastAsia" w:ascii="仿宋_GB2312" w:hAnsi="仿宋_GB2312" w:eastAsia="仿宋_GB2312" w:cs="仿宋_GB2312"/>
          <w:color w:val="auto"/>
          <w:sz w:val="24"/>
          <w:szCs w:val="24"/>
          <w:highlight w:val="none"/>
          <w:lang w:val="en-US" w:eastAsia="zh-CN"/>
        </w:rPr>
        <w:t>2021年重点</w:t>
      </w:r>
      <w:r>
        <w:rPr>
          <w:rFonts w:hint="eastAsia" w:ascii="仿宋_GB2312" w:hAnsi="仿宋_GB2312" w:eastAsia="仿宋_GB2312" w:cs="仿宋_GB2312"/>
          <w:color w:val="auto"/>
          <w:sz w:val="24"/>
          <w:szCs w:val="24"/>
          <w:highlight w:val="none"/>
        </w:rPr>
        <w:t>工作</w:t>
      </w:r>
      <w:r>
        <w:rPr>
          <w:rFonts w:hint="eastAsia" w:ascii="仿宋_GB2312" w:hAnsi="仿宋_GB2312" w:eastAsia="仿宋_GB2312" w:cs="仿宋_GB2312"/>
          <w:color w:val="auto"/>
          <w:sz w:val="24"/>
          <w:szCs w:val="24"/>
          <w:highlight w:val="none"/>
          <w:lang w:eastAsia="zh-CN"/>
        </w:rPr>
        <w:t>完成情况</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4-5</w:t>
      </w:r>
    </w:p>
    <w:p>
      <w:pPr>
        <w:pStyle w:val="10"/>
        <w:adjustRightInd w:val="0"/>
        <w:snapToGrid w:val="0"/>
        <w:spacing w:before="0"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第二部分</w:t>
      </w:r>
      <w:r>
        <w:rPr>
          <w:rFonts w:hint="eastAsia" w:ascii="仿宋_GB2312" w:hAnsi="仿宋_GB2312" w:eastAsia="仿宋_GB2312" w:cs="仿宋_GB2312"/>
          <w:color w:val="auto"/>
          <w:sz w:val="24"/>
          <w:szCs w:val="24"/>
          <w:highlight w:val="none"/>
          <w:lang w:val="en-US" w:eastAsia="zh-CN"/>
        </w:rPr>
        <w:t xml:space="preserve"> 2021年度</w:t>
      </w:r>
      <w:r>
        <w:rPr>
          <w:rFonts w:hint="eastAsia" w:ascii="仿宋_GB2312" w:hAnsi="仿宋_GB2312" w:eastAsia="仿宋_GB2312" w:cs="仿宋_GB2312"/>
          <w:color w:val="auto"/>
          <w:sz w:val="24"/>
          <w:szCs w:val="24"/>
          <w:highlight w:val="none"/>
          <w:lang w:eastAsia="zh-CN"/>
        </w:rPr>
        <w:t>单位</w:t>
      </w:r>
      <w:r>
        <w:rPr>
          <w:rFonts w:hint="eastAsia" w:ascii="仿宋_GB2312" w:hAnsi="仿宋_GB2312" w:eastAsia="仿宋_GB2312" w:cs="仿宋_GB2312"/>
          <w:color w:val="auto"/>
          <w:sz w:val="24"/>
          <w:szCs w:val="24"/>
          <w:highlight w:val="none"/>
        </w:rPr>
        <w:t>决算情况说明</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一、收入支出决算总体情况说明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二、收入决算情况说明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6-7</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三、支出决算情况说明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7</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四、财政拨款收入支出决算总体情况说明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五、一般公共预算财政拨款支出决算情况说明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8-10</w:t>
      </w:r>
    </w:p>
    <w:p>
      <w:pPr>
        <w:pStyle w:val="11"/>
        <w:adjustRightInd w:val="0"/>
        <w:snapToGrid w:val="0"/>
        <w:spacing w:line="440" w:lineRule="exact"/>
        <w:jc w:val="left"/>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六、一般公共预算财政拨款基本支出决算情况说明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10-11</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七、</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三公”经费财政拨款支出决算情况说明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bookmarkStart w:id="64" w:name="_GoBack"/>
      <w:bookmarkEnd w:id="64"/>
      <w:r>
        <w:rPr>
          <w:rFonts w:hint="eastAsia" w:ascii="仿宋_GB2312" w:hAnsi="仿宋_GB2312" w:eastAsia="仿宋_GB2312" w:cs="仿宋_GB2312"/>
          <w:sz w:val="24"/>
          <w:szCs w:val="24"/>
          <w:lang w:val="en-US" w:eastAsia="zh-CN"/>
        </w:rPr>
        <w:t>11</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八、政府性基金预算支出决算情况说明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11</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九、国有资本经营预算支出决算情况说明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11</w:t>
      </w:r>
    </w:p>
    <w:p>
      <w:pPr>
        <w:pStyle w:val="11"/>
        <w:adjustRightInd w:val="0"/>
        <w:snapToGrid w:val="0"/>
        <w:spacing w:line="440" w:lineRule="exact"/>
        <w:jc w:val="left"/>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十、其他重要事项的情况说明</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11-12</w:t>
      </w:r>
    </w:p>
    <w:p>
      <w:pPr>
        <w:pStyle w:val="10"/>
        <w:adjustRightInd w:val="0"/>
        <w:snapToGrid w:val="0"/>
        <w:spacing w:before="0"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第三部分 名词解释</w:t>
      </w:r>
    </w:p>
    <w:p>
      <w:pPr>
        <w:pStyle w:val="10"/>
        <w:adjustRightInd w:val="0"/>
        <w:snapToGrid w:val="0"/>
        <w:spacing w:before="0"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第四部分 附件</w:t>
      </w:r>
    </w:p>
    <w:p>
      <w:pPr>
        <w:pStyle w:val="10"/>
        <w:adjustRightInd w:val="0"/>
        <w:snapToGrid w:val="0"/>
        <w:spacing w:before="0"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第五部分 附表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一、收入支出决算总表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二、收入决算表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三、支出决算表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四、财政拨款收入支出决算总表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五、财政拨款支出决算明细表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六、一般公共预算财政拨款支出决算表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七、一般公共预算财政拨款支出决算明细表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八、一般公共预算财政拨款基本支出决算表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九、一般公共预算财政拨款项目支出决算表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十、一般公共预算财政拨款“三公”经费支出决算表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十一、政府性基金预算财政拨款收入支出决算表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十二、政府性基金预算财政拨款“三公”经费支出决算表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十三、国有资本经营预算</w:t>
      </w:r>
      <w:r>
        <w:rPr>
          <w:rFonts w:hint="eastAsia" w:ascii="仿宋_GB2312" w:hAnsi="仿宋_GB2312" w:eastAsia="仿宋_GB2312" w:cs="仿宋_GB2312"/>
          <w:color w:val="auto"/>
          <w:sz w:val="24"/>
          <w:szCs w:val="24"/>
          <w:highlight w:val="none"/>
          <w:lang w:eastAsia="zh-CN"/>
        </w:rPr>
        <w:t>财政拨款收入</w:t>
      </w:r>
      <w:r>
        <w:rPr>
          <w:rFonts w:hint="eastAsia" w:ascii="仿宋_GB2312" w:hAnsi="仿宋_GB2312" w:eastAsia="仿宋_GB2312" w:cs="仿宋_GB2312"/>
          <w:color w:val="auto"/>
          <w:sz w:val="24"/>
          <w:szCs w:val="24"/>
          <w:highlight w:val="none"/>
        </w:rPr>
        <w:t>支出决算表</w:t>
      </w:r>
    </w:p>
    <w:p>
      <w:pPr>
        <w:pStyle w:val="11"/>
        <w:adjustRightInd w:val="0"/>
        <w:snapToGrid w:val="0"/>
        <w:spacing w:line="44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十四、国有资本经营预算财政拨款支出决算表</w:t>
      </w:r>
    </w:p>
    <w:p>
      <w:pPr>
        <w:widowControl/>
        <w:spacing w:line="440" w:lineRule="exact"/>
        <w:jc w:val="left"/>
        <w:rPr>
          <w:rFonts w:hint="eastAsia" w:ascii="仿宋_GB2312" w:hAnsi="仿宋_GB2312" w:eastAsia="仿宋_GB2312" w:cs="仿宋_GB2312"/>
          <w:bCs/>
          <w:color w:val="auto"/>
          <w:kern w:val="44"/>
          <w:sz w:val="24"/>
          <w:szCs w:val="24"/>
          <w:highlight w:val="none"/>
        </w:rPr>
      </w:pPr>
      <w:bookmarkStart w:id="12" w:name="_Toc15377196"/>
      <w:bookmarkStart w:id="13" w:name="_Toc15396599"/>
      <w:r>
        <w:rPr>
          <w:rFonts w:hint="eastAsia" w:ascii="仿宋_GB2312" w:hAnsi="仿宋_GB2312" w:eastAsia="仿宋_GB2312" w:cs="仿宋_GB2312"/>
          <w:b/>
          <w:color w:val="auto"/>
          <w:sz w:val="24"/>
          <w:szCs w:val="24"/>
          <w:highlight w:val="none"/>
        </w:rPr>
        <w:br w:type="page"/>
      </w:r>
    </w:p>
    <w:p>
      <w:pPr>
        <w:pStyle w:val="3"/>
        <w:pageBreakBefore w:val="0"/>
        <w:widowControl w:val="0"/>
        <w:numPr>
          <w:ilvl w:val="0"/>
          <w:numId w:val="1"/>
        </w:numPr>
        <w:kinsoku/>
        <w:wordWrap/>
        <w:overflowPunct/>
        <w:topLinePunct w:val="0"/>
        <w:autoSpaceDE/>
        <w:autoSpaceDN/>
        <w:bidi w:val="0"/>
        <w:snapToGrid/>
        <w:spacing w:before="0" w:after="0" w:line="600" w:lineRule="exact"/>
        <w:jc w:val="center"/>
        <w:textAlignment w:val="auto"/>
      </w:pP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hint="eastAsia" w:ascii="黑体" w:hAnsi="黑体" w:eastAsia="黑体" w:cs="黑体"/>
          <w:color w:val="auto"/>
          <w:sz w:val="32"/>
          <w:szCs w:val="32"/>
          <w:highlight w:val="none"/>
          <w:lang w:val="en-US" w:eastAsia="zh-CN"/>
        </w:rPr>
      </w:pPr>
      <w:bookmarkStart w:id="14" w:name="_Toc15396600"/>
      <w:bookmarkStart w:id="15" w:name="_Toc15377197"/>
      <w:r>
        <w:rPr>
          <w:rFonts w:hint="eastAsia" w:ascii="黑体" w:hAnsi="黑体" w:eastAsia="黑体" w:cs="黑体"/>
          <w:color w:val="auto"/>
          <w:sz w:val="32"/>
          <w:szCs w:val="32"/>
          <w:highlight w:val="none"/>
          <w:lang w:val="en-US" w:eastAsia="zh-CN"/>
        </w:rPr>
        <w:t>一、职能简介</w:t>
      </w:r>
    </w:p>
    <w:p>
      <w:pPr>
        <w:keepNext w:val="0"/>
        <w:keepLines w:val="0"/>
        <w:pageBreakBefore w:val="0"/>
        <w:widowControl w:val="0"/>
        <w:kinsoku/>
        <w:wordWrap/>
        <w:overflowPunct/>
        <w:topLinePunct w:val="0"/>
        <w:autoSpaceDE/>
        <w:autoSpaceDN/>
        <w:bidi w:val="0"/>
        <w:adjustRightInd/>
        <w:snapToGrid/>
        <w:spacing w:line="575" w:lineRule="exact"/>
        <w:ind w:firstLine="420" w:firstLineChars="200"/>
        <w:textAlignment w:val="auto"/>
        <w:rPr>
          <w:rFonts w:ascii="仿宋" w:hAnsi="仿宋" w:eastAsia="仿宋"/>
          <w:bCs/>
          <w:sz w:val="32"/>
          <w:szCs w:val="32"/>
        </w:rPr>
      </w:pPr>
      <w:r>
        <w:rPr>
          <w:rFonts w:hint="eastAsia"/>
          <w:color w:val="auto"/>
          <w:highlight w:val="none"/>
          <w:lang w:val="en-US" w:eastAsia="zh-CN"/>
        </w:rPr>
        <w:t>四川</w:t>
      </w:r>
      <w:r>
        <w:rPr>
          <w:rFonts w:hint="eastAsia" w:ascii="仿宋" w:hAnsi="仿宋" w:eastAsia="仿宋"/>
          <w:bCs/>
          <w:sz w:val="32"/>
          <w:szCs w:val="32"/>
        </w:rPr>
        <w:t>省地矿局九0九水文队</w:t>
      </w:r>
      <w:r>
        <w:rPr>
          <w:rFonts w:ascii="仿宋" w:hAnsi="仿宋" w:eastAsia="仿宋"/>
          <w:bCs/>
          <w:sz w:val="32"/>
          <w:szCs w:val="32"/>
        </w:rPr>
        <w:t>(简称九</w:t>
      </w:r>
      <w:r>
        <w:rPr>
          <w:rFonts w:hint="eastAsia" w:ascii="仿宋" w:hAnsi="仿宋" w:eastAsia="仿宋"/>
          <w:bCs/>
          <w:sz w:val="32"/>
          <w:szCs w:val="32"/>
        </w:rPr>
        <w:t>0</w:t>
      </w:r>
      <w:r>
        <w:rPr>
          <w:rFonts w:ascii="仿宋" w:hAnsi="仿宋" w:eastAsia="仿宋"/>
          <w:bCs/>
          <w:sz w:val="32"/>
          <w:szCs w:val="32"/>
        </w:rPr>
        <w:t>九水文队)，前身为中国人民解放军基本建设工程兵九</w:t>
      </w:r>
      <w:r>
        <w:rPr>
          <w:rFonts w:hint="eastAsia" w:ascii="仿宋" w:hAnsi="仿宋" w:eastAsia="仿宋"/>
          <w:bCs/>
          <w:sz w:val="32"/>
          <w:szCs w:val="32"/>
        </w:rPr>
        <w:t>0</w:t>
      </w:r>
      <w:r>
        <w:rPr>
          <w:rFonts w:ascii="仿宋" w:hAnsi="仿宋" w:eastAsia="仿宋"/>
          <w:bCs/>
          <w:sz w:val="32"/>
          <w:szCs w:val="32"/>
        </w:rPr>
        <w:t>九团。1984年，部队集体就地转业，改编为九</w:t>
      </w:r>
      <w:r>
        <w:rPr>
          <w:rFonts w:hint="eastAsia" w:ascii="仿宋" w:hAnsi="仿宋" w:eastAsia="仿宋"/>
          <w:bCs/>
          <w:sz w:val="32"/>
          <w:szCs w:val="32"/>
        </w:rPr>
        <w:t>0</w:t>
      </w:r>
      <w:r>
        <w:rPr>
          <w:rFonts w:ascii="仿宋" w:hAnsi="仿宋" w:eastAsia="仿宋"/>
          <w:bCs/>
          <w:sz w:val="32"/>
          <w:szCs w:val="32"/>
        </w:rPr>
        <w:t>九水文地质工程地质大队，隶属于地质矿产部。</w:t>
      </w:r>
      <w:r>
        <w:rPr>
          <w:rFonts w:ascii="仿宋" w:hAnsi="仿宋" w:eastAsia="仿宋"/>
          <w:sz w:val="32"/>
          <w:szCs w:val="32"/>
        </w:rPr>
        <w:t>1999年5月属地化后隶属于四川省地质矿产勘查开发局管理。</w:t>
      </w:r>
      <w:r>
        <w:rPr>
          <w:rFonts w:hint="eastAsia" w:ascii="仿宋" w:hAnsi="仿宋" w:eastAsia="仿宋"/>
          <w:sz w:val="32"/>
          <w:szCs w:val="32"/>
        </w:rPr>
        <w:t>单位</w:t>
      </w:r>
      <w:r>
        <w:rPr>
          <w:rFonts w:hint="eastAsia" w:ascii="仿宋" w:hAnsi="仿宋" w:eastAsia="仿宋"/>
          <w:bCs/>
          <w:sz w:val="32"/>
          <w:szCs w:val="32"/>
        </w:rPr>
        <w:t>位于绵阳市科创园区园艺街39号，主要从事水文地质勘查、工程地质勘查、环境地质勘查、地球物理勘查、地质测绘、地质勘探工程、岩石、矿物、土壤及水质分析、化验、鉴定与测试。</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二、2021年重点</w:t>
      </w:r>
      <w:r>
        <w:rPr>
          <w:rFonts w:hint="eastAsia" w:ascii="黑体" w:hAnsi="黑体" w:eastAsia="黑体" w:cs="黑体"/>
          <w:sz w:val="32"/>
          <w:szCs w:val="32"/>
        </w:rPr>
        <w:t>工作</w:t>
      </w:r>
      <w:bookmarkEnd w:id="14"/>
      <w:bookmarkEnd w:id="15"/>
      <w:r>
        <w:rPr>
          <w:rFonts w:hint="eastAsia" w:ascii="黑体" w:hAnsi="黑体" w:eastAsia="黑体" w:cs="黑体"/>
          <w:sz w:val="32"/>
          <w:szCs w:val="32"/>
          <w:lang w:eastAsia="zh-CN"/>
        </w:rPr>
        <w:t>完成情况</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color w:val="auto"/>
          <w:sz w:val="32"/>
          <w:szCs w:val="32"/>
          <w:highlight w:val="none"/>
          <w:lang w:val="en-US" w:eastAsia="zh-CN"/>
        </w:rPr>
        <w:t>全面</w:t>
      </w:r>
      <w:r>
        <w:rPr>
          <w:rFonts w:hint="eastAsia" w:ascii="仿宋_GB2312" w:hAnsi="仿宋_GB2312" w:eastAsia="仿宋_GB2312" w:cs="仿宋_GB2312"/>
          <w:bCs/>
          <w:kern w:val="0"/>
          <w:sz w:val="32"/>
          <w:szCs w:val="32"/>
          <w:lang w:val="en-US" w:eastAsia="zh-CN" w:bidi="ar-SA"/>
        </w:rPr>
        <w:t>落实习近平总书记对四川工作系列重要指示精神,坚持稳中求进工作总基调，坚持新发展理念，坚持推动高质量发展，坚持为工业找矿、为产业和民生服务，根据局工作会议有关精神全力推进“五个地矿”建设，大力实施“地质+”战略和“互联网+地质”战略，保持定力、奋发进取、开拓创新，奋力推动全局地质事业实现新突破，为推动治蜀兴川再上新台阶作出新的贡献。持续强化政治引领，不断提升政治觉悟和政治能力。</w:t>
      </w:r>
    </w:p>
    <w:p>
      <w:pPr>
        <w:keepNext w:val="0"/>
        <w:keepLines w:val="0"/>
        <w:pageBreakBefore w:val="0"/>
        <w:widowControl/>
        <w:kinsoku/>
        <w:wordWrap/>
        <w:overflowPunct/>
        <w:topLinePunct w:val="0"/>
        <w:autoSpaceDE/>
        <w:autoSpaceDN/>
        <w:bidi w:val="0"/>
        <w:snapToGrid/>
        <w:spacing w:line="575"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认真组织传达学习贯彻落实中央和省委重要会议精神、中央和省委决策部署，及时传达学习贯彻落实院党委重要会议和决策部署。加强制度建设，认真梳理各项管理制度，查漏补缺，通过“废改立”的措施修订完善了管理制度，使内控体系更加健全。</w:t>
      </w:r>
    </w:p>
    <w:p>
      <w:pPr>
        <w:pStyle w:val="2"/>
        <w:keepNext w:val="0"/>
        <w:keepLines w:val="0"/>
        <w:pageBreakBefore w:val="0"/>
        <w:numPr>
          <w:ilvl w:val="0"/>
          <w:numId w:val="2"/>
        </w:numPr>
        <w:kinsoku/>
        <w:wordWrap/>
        <w:overflowPunct/>
        <w:topLinePunct w:val="0"/>
        <w:autoSpaceDE/>
        <w:autoSpaceDN/>
        <w:bidi w:val="0"/>
        <w:adjustRightInd w:val="0"/>
        <w:snapToGrid/>
        <w:spacing w:beforeLines="0" w:line="575"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提供分类改革前各项数据的整理和收集。随着事业单位分类改革的到来，按照局部署，继续开展资产清查工作，实现资产动态化管理，修订完善单位资产管理制度，加强资产管理方面的内控管理。提高资产管理意识，确保国有资产保值增值。为事业单位分类改革提供真实有效的数据支撑。</w:t>
      </w:r>
    </w:p>
    <w:p>
      <w:pPr>
        <w:pStyle w:val="2"/>
        <w:keepNext w:val="0"/>
        <w:keepLines w:val="0"/>
        <w:pageBreakBefore w:val="0"/>
        <w:numPr>
          <w:ilvl w:val="0"/>
          <w:numId w:val="0"/>
        </w:numPr>
        <w:kinsoku/>
        <w:wordWrap/>
        <w:overflowPunct/>
        <w:topLinePunct w:val="0"/>
        <w:autoSpaceDE/>
        <w:autoSpaceDN/>
        <w:bidi w:val="0"/>
        <w:adjustRightInd w:val="0"/>
        <w:snapToGrid/>
        <w:spacing w:beforeLines="0" w:line="575"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2、遵循先有预算、后有支出的原则及科学合理地安排支出，严格执行预算的要求，继续推行预算管理制度。</w:t>
      </w:r>
    </w:p>
    <w:p>
      <w:pPr>
        <w:pStyle w:val="2"/>
        <w:keepNext w:val="0"/>
        <w:keepLines w:val="0"/>
        <w:pageBreakBefore w:val="0"/>
        <w:kinsoku/>
        <w:wordWrap/>
        <w:overflowPunct/>
        <w:topLinePunct w:val="0"/>
        <w:autoSpaceDE/>
        <w:autoSpaceDN/>
        <w:bidi w:val="0"/>
        <w:adjustRightInd w:val="0"/>
        <w:snapToGrid/>
        <w:spacing w:beforeLines="0" w:line="575"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继续规范内部控制，完善补充内控手册，形成指导性内控评价体系，进一步提高我队内部经济管理水平。形成内部控制建设常态化机制。逐步将内控建设涵盖到预算管理、收支管理、政府采购管理、国有资产管理、合同管理、建设项目管理等经济业务领域。定期开展内控自我评价、执行内控报告制度，建立经济活动风险定期评估和内部监督机制。从源头上做好资金的使用和管理。</w:t>
      </w:r>
    </w:p>
    <w:p>
      <w:pPr>
        <w:pStyle w:val="2"/>
        <w:keepNext w:val="0"/>
        <w:keepLines w:val="0"/>
        <w:pageBreakBefore w:val="0"/>
        <w:kinsoku/>
        <w:wordWrap/>
        <w:overflowPunct/>
        <w:topLinePunct w:val="0"/>
        <w:autoSpaceDE/>
        <w:autoSpaceDN/>
        <w:bidi w:val="0"/>
        <w:adjustRightInd w:val="0"/>
        <w:snapToGrid/>
        <w:spacing w:beforeLines="0" w:line="575"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 xml:space="preserve"> 4、为深入贯彻《行政事业单位内部控制规范》、《行政事业单位内部控制指引》相关政策精神，规范财务核算，加强合同及项目管理，进一步提高我队内部经济管理水平，规范内部控制，加强风险防控机制建设，对经济活动的风险进行防范和管控，实现经营管理目标及控制目标。</w:t>
      </w:r>
    </w:p>
    <w:p>
      <w:pPr>
        <w:keepNext w:val="0"/>
        <w:keepLines w:val="0"/>
        <w:pageBreakBefore w:val="0"/>
        <w:widowControl/>
        <w:kinsoku/>
        <w:wordWrap/>
        <w:overflowPunct/>
        <w:topLinePunct w:val="0"/>
        <w:autoSpaceDE/>
        <w:autoSpaceDN/>
        <w:bidi w:val="0"/>
        <w:snapToGrid/>
        <w:spacing w:line="575" w:lineRule="exact"/>
        <w:ind w:firstLine="640" w:firstLineChars="200"/>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3"/>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2021年度收、支总计2256.46万元。与2020年相比，收、支总计各减少13.48万元，下降0.59%。主要变动原因是2021年市场经营收入减少。</w:t>
      </w:r>
    </w:p>
    <w:p>
      <w:pPr>
        <w:pStyle w:val="2"/>
      </w:pPr>
      <w: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3"/>
        </w:numPr>
        <w:spacing w:line="60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hint="eastAsia" w:ascii="仿宋_GB2312" w:hAnsi="仿宋_GB2312" w:eastAsia="仿宋_GB2312" w:cs="仿宋_GB2312"/>
          <w:kern w:val="0"/>
          <w:sz w:val="32"/>
          <w:szCs w:val="32"/>
          <w:lang w:val="en-US" w:eastAsia="zh-CN" w:bidi="ar-SA"/>
        </w:rPr>
        <w:t>2021年本年收入合计2256.46万元，其中：一般公共预算财政拨款收入2104.02万元，占93.24%；经营收入138.53万元，占6.14%；其他收入13.91万元，占0.62%。</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
        <w:rPr>
          <w:rFonts w:hint="eastAsia"/>
        </w:rPr>
      </w:pPr>
      <w:r>
        <w:rPr>
          <w:rFonts w:hint="eastAsia"/>
        </w:rPr>
        <w:drawing>
          <wp:inline distT="0" distB="0" distL="0" distR="0">
            <wp:extent cx="4900930" cy="2814320"/>
            <wp:effectExtent l="4445" t="4445" r="17145" b="158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rPr>
      </w:pPr>
    </w:p>
    <w:p>
      <w:pPr>
        <w:pStyle w:val="23"/>
        <w:numPr>
          <w:ilvl w:val="0"/>
          <w:numId w:val="3"/>
        </w:numPr>
        <w:spacing w:line="600" w:lineRule="exact"/>
        <w:ind w:firstLineChars="0"/>
        <w:outlineLvl w:val="1"/>
        <w:rPr>
          <w:rStyle w:val="25"/>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2242.43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2104.02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93.83</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138.41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6.17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jc w:val="center"/>
        <w:rPr>
          <w:rFonts w:hint="eastAsia"/>
        </w:rPr>
      </w:pPr>
      <w:r>
        <w:drawing>
          <wp:anchor distT="6985" distB="6985" distL="0" distR="0" simplePos="0" relativeHeight="251659264" behindDoc="0" locked="0" layoutInCell="1" allowOverlap="1">
            <wp:simplePos x="0" y="0"/>
            <wp:positionH relativeFrom="column">
              <wp:posOffset>34290</wp:posOffset>
            </wp:positionH>
            <wp:positionV relativeFrom="paragraph">
              <wp:posOffset>508000</wp:posOffset>
            </wp:positionV>
            <wp:extent cx="5260340" cy="2512060"/>
            <wp:effectExtent l="4445" t="4445" r="8255" b="1333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Fonts w:hint="eastAsia" w:ascii="黑体" w:hAnsi="黑体" w:eastAsia="黑体"/>
          <w:color w:val="auto"/>
          <w:sz w:val="32"/>
          <w:szCs w:val="32"/>
          <w:highlight w:val="none"/>
        </w:rPr>
      </w:pPr>
      <w:bookmarkStart w:id="24" w:name="_Toc15377208"/>
      <w:bookmarkStart w:id="25" w:name="_Toc15396606"/>
    </w:p>
    <w:p>
      <w:pPr>
        <w:spacing w:line="600" w:lineRule="exact"/>
        <w:ind w:firstLine="640" w:firstLineChars="200"/>
        <w:outlineLvl w:val="1"/>
        <w:rPr>
          <w:rStyle w:val="25"/>
          <w:rFonts w:ascii="黑体" w:hAnsi="黑体" w:eastAsia="黑体"/>
          <w:b w:val="0"/>
          <w:color w:val="auto"/>
          <w:highlight w:val="none"/>
        </w:rPr>
      </w:pPr>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2021年财政拨款收、支总计2104.02万元。与2020年相比，财政拨款收、支总计各增加41.92万元，增长2.03%。主要变动原因是2021年退休人员一次性生活补助增加。</w:t>
      </w:r>
    </w:p>
    <w:p>
      <w:pPr>
        <w:spacing w:line="600" w:lineRule="exact"/>
        <w:rPr>
          <w:rFonts w:ascii="仿宋" w:hAnsi="仿宋" w:eastAsia="仿宋"/>
          <w:color w:val="auto"/>
          <w:sz w:val="32"/>
          <w:szCs w:val="32"/>
          <w:highlight w:val="none"/>
        </w:rPr>
      </w:pPr>
    </w:p>
    <w:p>
      <w:pPr>
        <w:spacing w:line="60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pPr>
      <w:r>
        <w:drawing>
          <wp:inline distT="0" distB="0" distL="0" distR="0">
            <wp:extent cx="5772150" cy="2453640"/>
            <wp:effectExtent l="4445" t="4445" r="14605" b="10795"/>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2104.02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93.83</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41.92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2.03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2021年退休人员一次性生活补助增加。</w:t>
      </w:r>
    </w:p>
    <w:p>
      <w:pPr>
        <w:spacing w:line="600" w:lineRule="exact"/>
        <w:ind w:firstLine="640" w:firstLineChars="200"/>
        <w:rPr>
          <w:rFonts w:ascii="仿宋" w:hAnsi="仿宋" w:eastAsia="仿宋"/>
          <w:color w:val="auto"/>
          <w:sz w:val="32"/>
          <w:szCs w:val="32"/>
          <w:highlight w:val="none"/>
        </w:rPr>
      </w:pPr>
    </w:p>
    <w:p>
      <w:pPr>
        <w:spacing w:line="600" w:lineRule="exact"/>
        <w:jc w:val="center"/>
        <w:rPr>
          <w:rFonts w:hint="eastAsia" w:ascii="仿宋" w:hAnsi="仿宋" w:eastAsia="仿宋"/>
          <w:b/>
          <w:color w:val="auto"/>
          <w:sz w:val="32"/>
          <w:szCs w:val="32"/>
          <w:highlight w:val="none"/>
        </w:rPr>
      </w:pPr>
      <w:r>
        <w:drawing>
          <wp:anchor distT="0" distB="0" distL="0" distR="0" simplePos="0" relativeHeight="251660288" behindDoc="0" locked="0" layoutInCell="1" allowOverlap="1">
            <wp:simplePos x="0" y="0"/>
            <wp:positionH relativeFrom="column">
              <wp:posOffset>182245</wp:posOffset>
            </wp:positionH>
            <wp:positionV relativeFrom="paragraph">
              <wp:posOffset>928370</wp:posOffset>
            </wp:positionV>
            <wp:extent cx="5274310" cy="3076575"/>
            <wp:effectExtent l="5080" t="4445" r="8890" b="12700"/>
            <wp:wrapSquare wrapText="bothSides"/>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（图5：一般公共预算财政拨款支出决算变动情况）（柱状图）</w:t>
      </w:r>
      <w:bookmarkStart w:id="29" w:name="_Toc15377211"/>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2104.02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610.94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29.04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69.06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w:t>
      </w:r>
      <w:r>
        <w:rPr>
          <w:rFonts w:hint="eastAsia" w:ascii="仿宋" w:hAnsi="仿宋" w:eastAsia="仿宋"/>
          <w:b/>
          <w:color w:val="auto"/>
          <w:sz w:val="32"/>
          <w:szCs w:val="32"/>
          <w:highlight w:val="none"/>
          <w:lang w:eastAsia="zh-CN"/>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175.28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资源勘探工业信息等支出（类）</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1248.74万元，占59.35%</w:t>
      </w:r>
      <w:r>
        <w:rPr>
          <w:rFonts w:hint="eastAsia" w:ascii="仿宋" w:hAnsi="仿宋" w:eastAsia="仿宋"/>
          <w:color w:val="auto"/>
          <w:sz w:val="32"/>
          <w:szCs w:val="32"/>
          <w:highlight w:val="none"/>
        </w:rPr>
        <w:t>。</w:t>
      </w:r>
    </w:p>
    <w:p>
      <w:pPr>
        <w:spacing w:line="600" w:lineRule="exact"/>
        <w:jc w:val="both"/>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rPr>
          <w:rFonts w:ascii="仿宋" w:hAnsi="仿宋" w:eastAsia="仿宋"/>
          <w:color w:val="auto"/>
          <w:sz w:val="32"/>
          <w:szCs w:val="32"/>
          <w:highlight w:val="none"/>
        </w:rPr>
      </w:pPr>
      <w:r>
        <w:rPr>
          <w:rFonts w:hint="eastAsia"/>
        </w:rPr>
        <w:drawing>
          <wp:inline distT="0" distB="0" distL="0" distR="0">
            <wp:extent cx="5353685" cy="2401570"/>
            <wp:effectExtent l="5080" t="4445" r="13335" b="1333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2104.02</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600" w:lineRule="exact"/>
        <w:ind w:firstLine="630" w:firstLineChars="196"/>
        <w:rPr>
          <w:rStyle w:val="14"/>
          <w:rFonts w:ascii="仿宋" w:hAnsi="仿宋" w:eastAsia="仿宋"/>
          <w:b w:val="0"/>
          <w:bCs/>
          <w:color w:val="000000"/>
          <w:sz w:val="32"/>
          <w:szCs w:val="32"/>
        </w:rPr>
      </w:pPr>
      <w:r>
        <w:rPr>
          <w:rStyle w:val="14"/>
          <w:rFonts w:hint="eastAsia" w:ascii="仿宋" w:hAnsi="仿宋" w:eastAsia="仿宋"/>
          <w:bCs/>
          <w:color w:val="000000"/>
          <w:sz w:val="32"/>
          <w:szCs w:val="32"/>
        </w:rPr>
        <w:t>1.社会保障和就业（类）行政事业单位养老支出（款）机关事业单位基本养老保险缴费（项）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242.63</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803" w:firstLineChars="25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 社会保障和就业（类）行政事业单位养老支出（款）职业年金缴费（项）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121.32</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Style w:val="2"/>
        <w:spacing w:before="93"/>
        <w:ind w:firstLine="800" w:firstLineChars="25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3.</w:t>
      </w:r>
      <w:r>
        <w:rPr>
          <w:rStyle w:val="14"/>
          <w:rFonts w:hint="eastAsia" w:ascii="仿宋" w:hAnsi="仿宋" w:eastAsia="仿宋"/>
          <w:bCs/>
          <w:color w:val="000000"/>
          <w:sz w:val="32"/>
          <w:szCs w:val="32"/>
        </w:rPr>
        <w:t xml:space="preserve"> 社会保障和就业（类）行政事业单位养老支出（款）事业单位离退休（项）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246.99</w:t>
      </w:r>
      <w:r>
        <w:rPr>
          <w:rStyle w:val="14"/>
          <w:rFonts w:hint="eastAsia" w:ascii="仿宋" w:hAnsi="仿宋" w:eastAsia="仿宋"/>
          <w:b w:val="0"/>
          <w:bCs/>
          <w:color w:val="000000"/>
          <w:sz w:val="32"/>
          <w:szCs w:val="32"/>
        </w:rPr>
        <w:t>万元，完成预算100%。</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000000"/>
          <w:sz w:val="32"/>
          <w:szCs w:val="32"/>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000000"/>
          <w:sz w:val="32"/>
          <w:szCs w:val="32"/>
        </w:rPr>
        <w:t>职工基本医疗保险缴费</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69.06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803" w:firstLineChars="25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5.资源勘探工业信息等支出（类）资源勘探开发（款）其他资源勘探开发（项）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1248.74</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Style w:val="2"/>
        <w:spacing w:before="93"/>
        <w:ind w:firstLine="800" w:firstLineChars="250"/>
        <w:rPr>
          <w:rStyle w:val="14"/>
          <w:rFonts w:ascii="仿宋" w:hAnsi="仿宋" w:eastAsia="仿宋"/>
          <w:b w:val="0"/>
          <w:bCs/>
          <w:color w:val="000000"/>
          <w:sz w:val="32"/>
          <w:szCs w:val="32"/>
        </w:rPr>
      </w:pPr>
      <w:r>
        <w:rPr>
          <w:rFonts w:hint="eastAsia" w:ascii="仿宋" w:hAnsi="仿宋" w:eastAsia="仿宋"/>
          <w:sz w:val="32"/>
          <w:szCs w:val="32"/>
        </w:rPr>
        <w:t>6.</w:t>
      </w:r>
      <w:r>
        <w:rPr>
          <w:rStyle w:val="14"/>
          <w:rFonts w:hint="eastAsia" w:ascii="仿宋" w:hAnsi="仿宋" w:eastAsia="仿宋"/>
          <w:bCs/>
          <w:color w:val="000000"/>
          <w:sz w:val="32"/>
          <w:szCs w:val="32"/>
        </w:rPr>
        <w:t xml:space="preserve"> 住房保障支出（类）住房改革支出（款）住房公积金（项）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175.28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2104.02</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2045.58</w:t>
      </w:r>
      <w:r>
        <w:rPr>
          <w:rFonts w:hint="eastAsia" w:ascii="仿宋" w:hAnsi="仿宋" w:eastAsia="仿宋"/>
          <w:color w:val="auto"/>
          <w:sz w:val="32"/>
          <w:szCs w:val="32"/>
          <w:highlight w:val="none"/>
        </w:rPr>
        <w:t>万元，主要包括：基本工资、津贴补贴、机关事业单位基本养老保险缴费、职业年金缴费、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其他社会保障缴费、其他工资福利支出、退休费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住房公积金、其他对个人和家庭的补助支出等。</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58.44</w:t>
      </w:r>
      <w:r>
        <w:rPr>
          <w:rFonts w:hint="eastAsia" w:ascii="仿宋" w:hAnsi="仿宋" w:eastAsia="仿宋"/>
          <w:color w:val="auto"/>
          <w:sz w:val="32"/>
          <w:szCs w:val="32"/>
          <w:highlight w:val="none"/>
        </w:rPr>
        <w:t>万元，主要包括：工会经费、福利费、其他商品和服务支出。</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1"/>
        <w:rPr>
          <w:rStyle w:val="25"/>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keepNext w:val="0"/>
        <w:keepLines w:val="0"/>
        <w:pageBreakBefore w:val="0"/>
        <w:widowControl w:val="0"/>
        <w:kinsoku/>
        <w:wordWrap/>
        <w:overflowPunct/>
        <w:topLinePunct w:val="0"/>
        <w:bidi w:val="0"/>
        <w:snapToGrid/>
        <w:spacing w:line="600" w:lineRule="exact"/>
        <w:ind w:firstLine="640" w:firstLineChars="200"/>
        <w:textAlignment w:val="auto"/>
        <w:rPr>
          <w:rStyle w:val="25"/>
          <w:rFonts w:hint="eastAsia" w:ascii="仿宋" w:hAnsi="仿宋" w:eastAsia="仿宋"/>
          <w:b w:val="0"/>
          <w:lang w:val="en-US" w:eastAsia="zh-CN"/>
        </w:rPr>
      </w:pPr>
      <w:r>
        <w:rPr>
          <w:rStyle w:val="25"/>
          <w:rFonts w:hint="eastAsia" w:ascii="仿宋" w:hAnsi="仿宋" w:eastAsia="仿宋"/>
          <w:b w:val="0"/>
        </w:rPr>
        <w:t>本单位为事业单位，无三公经费。20</w:t>
      </w:r>
      <w:r>
        <w:rPr>
          <w:rStyle w:val="25"/>
          <w:rFonts w:hint="eastAsia" w:ascii="仿宋" w:hAnsi="仿宋" w:eastAsia="仿宋"/>
          <w:b w:val="0"/>
          <w:lang w:val="en-US" w:eastAsia="zh-CN"/>
        </w:rPr>
        <w:t>20</w:t>
      </w:r>
      <w:r>
        <w:rPr>
          <w:rStyle w:val="25"/>
          <w:rFonts w:hint="eastAsia" w:ascii="仿宋" w:hAnsi="仿宋" w:eastAsia="仿宋"/>
          <w:b w:val="0"/>
        </w:rPr>
        <w:t>年三公经费为0，202</w:t>
      </w:r>
      <w:r>
        <w:rPr>
          <w:rStyle w:val="25"/>
          <w:rFonts w:hint="eastAsia" w:ascii="仿宋" w:hAnsi="仿宋" w:eastAsia="仿宋"/>
          <w:b w:val="0"/>
          <w:lang w:val="en-US" w:eastAsia="zh-CN"/>
        </w:rPr>
        <w:t>1</w:t>
      </w:r>
      <w:r>
        <w:rPr>
          <w:rStyle w:val="25"/>
          <w:rFonts w:hint="eastAsia" w:ascii="仿宋" w:hAnsi="仿宋" w:eastAsia="仿宋"/>
          <w:b w:val="0"/>
        </w:rPr>
        <w:t>年三公经费为0，与上年度一致，与上年度相比无增减变化</w:t>
      </w:r>
      <w:r>
        <w:rPr>
          <w:rStyle w:val="25"/>
          <w:rFonts w:hint="eastAsia" w:ascii="仿宋" w:hAnsi="仿宋" w:eastAsia="仿宋"/>
          <w:b w:val="0"/>
          <w:lang w:val="en-US"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1"/>
        <w:rPr>
          <w:rFonts w:ascii="黑体" w:eastAsia="黑体"/>
          <w:color w:val="auto"/>
          <w:sz w:val="32"/>
          <w:szCs w:val="32"/>
          <w:highlight w:val="none"/>
        </w:rPr>
      </w:pPr>
      <w:bookmarkStart w:id="38" w:name="_Toc15396610"/>
      <w:bookmarkStart w:id="39" w:name="_Toc15377218"/>
    </w:p>
    <w:p>
      <w:pPr>
        <w:keepNext w:val="0"/>
        <w:keepLines w:val="0"/>
        <w:pageBreakBefore w:val="0"/>
        <w:widowControl w:val="0"/>
        <w:kinsoku/>
        <w:wordWrap/>
        <w:overflowPunct/>
        <w:topLinePunct w:val="0"/>
        <w:bidi w:val="0"/>
        <w:snapToGrid/>
        <w:spacing w:line="600" w:lineRule="exact"/>
        <w:ind w:firstLine="640" w:firstLineChars="200"/>
        <w:textAlignment w:val="auto"/>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38"/>
      <w:bookmarkEnd w:id="39"/>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Style w:val="25"/>
          <w:rFonts w:hint="eastAsia" w:ascii="仿宋" w:hAnsi="仿宋" w:eastAsia="仿宋"/>
          <w:b w:val="0"/>
        </w:rPr>
        <w:t>本单位202</w:t>
      </w:r>
      <w:r>
        <w:rPr>
          <w:rStyle w:val="25"/>
          <w:rFonts w:hint="eastAsia" w:ascii="仿宋" w:hAnsi="仿宋" w:eastAsia="仿宋"/>
          <w:b w:val="0"/>
          <w:lang w:val="en-US" w:eastAsia="zh-CN"/>
        </w:rPr>
        <w:t>1</w:t>
      </w:r>
      <w:r>
        <w:rPr>
          <w:rStyle w:val="25"/>
          <w:rFonts w:hint="eastAsia" w:ascii="仿宋" w:hAnsi="仿宋" w:eastAsia="仿宋"/>
          <w:b w:val="0"/>
        </w:rPr>
        <w:t>年无政府性基金预算支出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outlineLvl w:val="1"/>
        <w:rPr>
          <w:rStyle w:val="25"/>
          <w:rFonts w:ascii="黑体" w:hAnsi="黑体" w:eastAsia="黑体"/>
          <w:b w:val="0"/>
          <w:color w:val="auto"/>
          <w:highlight w:val="none"/>
        </w:rPr>
      </w:pPr>
      <w:bookmarkStart w:id="40" w:name="_Toc15377219"/>
      <w:bookmarkStart w:id="41" w:name="_Toc15396611"/>
      <w:r>
        <w:rPr>
          <w:rStyle w:val="25"/>
          <w:rFonts w:hint="eastAsia" w:ascii="黑体" w:hAnsi="黑体" w:eastAsia="黑体"/>
          <w:b w:val="0"/>
          <w:color w:val="auto"/>
          <w:highlight w:val="none"/>
          <w:lang w:eastAsia="zh-CN"/>
        </w:rPr>
        <w:t>九、</w:t>
      </w:r>
      <w:r>
        <w:rPr>
          <w:rStyle w:val="25"/>
          <w:rFonts w:hint="eastAsia" w:ascii="黑体" w:hAnsi="黑体" w:eastAsia="黑体"/>
          <w:b w:val="0"/>
          <w:color w:val="auto"/>
          <w:highlight w:val="none"/>
        </w:rPr>
        <w:t>国有资本经营预算支出决算情况说明</w:t>
      </w:r>
      <w:bookmarkEnd w:id="40"/>
      <w:bookmarkEnd w:id="41"/>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Style w:val="25"/>
          <w:rFonts w:hint="eastAsia" w:ascii="仿宋" w:hAnsi="仿宋" w:eastAsia="仿宋"/>
          <w:b w:val="0"/>
        </w:rPr>
        <w:t>本单位202</w:t>
      </w:r>
      <w:r>
        <w:rPr>
          <w:rStyle w:val="25"/>
          <w:rFonts w:hint="eastAsia" w:ascii="仿宋" w:hAnsi="仿宋" w:eastAsia="仿宋"/>
          <w:b w:val="0"/>
          <w:lang w:val="en-US" w:eastAsia="zh-CN"/>
        </w:rPr>
        <w:t>1</w:t>
      </w:r>
      <w:r>
        <w:rPr>
          <w:rStyle w:val="25"/>
          <w:rFonts w:hint="eastAsia" w:ascii="仿宋" w:hAnsi="仿宋" w:eastAsia="仿宋"/>
          <w:b w:val="0"/>
        </w:rPr>
        <w:t>年无国有资本经营预算支出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snapToGrid/>
        <w:spacing w:line="600" w:lineRule="exact"/>
        <w:ind w:firstLine="880" w:firstLineChars="200"/>
        <w:jc w:val="center"/>
        <w:textAlignment w:val="auto"/>
        <w:rPr>
          <w:rFonts w:ascii="方正小标宋简体" w:hAnsi="方正小标宋简体" w:eastAsia="方正小标宋简体" w:cs="方正小标宋简体"/>
          <w:color w:val="auto"/>
          <w:sz w:val="44"/>
          <w:szCs w:val="44"/>
          <w:highlight w:val="none"/>
        </w:rPr>
      </w:pP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outlineLvl w:val="1"/>
        <w:rPr>
          <w:rStyle w:val="25"/>
          <w:rFonts w:hint="eastAsia" w:ascii="黑体" w:hAnsi="黑体" w:eastAsia="黑体"/>
          <w:b w:val="0"/>
          <w:color w:val="auto"/>
          <w:highlight w:val="none"/>
        </w:rPr>
      </w:pPr>
      <w:bookmarkStart w:id="42" w:name="_Toc15377221"/>
      <w:bookmarkStart w:id="43" w:name="_Toc15396612"/>
      <w:r>
        <w:rPr>
          <w:rStyle w:val="25"/>
          <w:rFonts w:hint="eastAsia" w:ascii="黑体" w:hAnsi="黑体" w:eastAsia="黑体"/>
          <w:b w:val="0"/>
          <w:color w:val="auto"/>
          <w:highlight w:val="none"/>
          <w:lang w:eastAsia="zh-CN"/>
        </w:rPr>
        <w:t>十、</w:t>
      </w:r>
      <w:r>
        <w:rPr>
          <w:rStyle w:val="25"/>
          <w:rFonts w:hint="eastAsia" w:ascii="黑体" w:hAnsi="黑体" w:eastAsia="黑体"/>
          <w:b w:val="0"/>
          <w:color w:val="auto"/>
          <w:highlight w:val="none"/>
        </w:rPr>
        <w:t>其他重要事项的情况说明</w:t>
      </w:r>
      <w:bookmarkEnd w:id="42"/>
      <w:bookmarkEnd w:id="43"/>
    </w:p>
    <w:p>
      <w:pPr>
        <w:keepNext w:val="0"/>
        <w:keepLines w:val="0"/>
        <w:pageBreakBefore w:val="0"/>
        <w:widowControl w:val="0"/>
        <w:kinsoku/>
        <w:wordWrap/>
        <w:overflowPunct/>
        <w:topLinePunct w:val="0"/>
        <w:bidi w:val="0"/>
        <w:snapToGrid/>
        <w:spacing w:line="600" w:lineRule="exact"/>
        <w:ind w:firstLine="643" w:firstLineChars="200"/>
        <w:textAlignment w:val="auto"/>
        <w:outlineLvl w:val="2"/>
        <w:rPr>
          <w:rFonts w:ascii="仿宋" w:hAnsi="仿宋" w:eastAsia="仿宋"/>
          <w:color w:val="auto"/>
          <w:sz w:val="32"/>
          <w:szCs w:val="32"/>
          <w:highlight w:val="none"/>
        </w:rPr>
      </w:pPr>
      <w:bookmarkStart w:id="44" w:name="_Toc15377222"/>
      <w:r>
        <w:rPr>
          <w:rFonts w:hint="eastAsia" w:ascii="仿宋" w:hAnsi="仿宋" w:eastAsia="仿宋"/>
          <w:b/>
          <w:color w:val="auto"/>
          <w:sz w:val="32"/>
          <w:szCs w:val="32"/>
          <w:highlight w:val="none"/>
        </w:rPr>
        <w:t>（一）机关运行经费支出情况</w:t>
      </w:r>
      <w:bookmarkEnd w:id="44"/>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b/>
          <w:color w:val="auto"/>
          <w:sz w:val="32"/>
          <w:szCs w:val="32"/>
          <w:highlight w:val="none"/>
          <w:lang w:val="en-US" w:eastAsia="zh-CN"/>
        </w:rPr>
      </w:pPr>
      <w:r>
        <w:rPr>
          <w:rStyle w:val="25"/>
          <w:rFonts w:hint="eastAsia" w:ascii="仿宋" w:hAnsi="仿宋" w:eastAsia="仿宋"/>
          <w:b w:val="0"/>
        </w:rPr>
        <w:t>本单位不涉及</w:t>
      </w:r>
      <w:r>
        <w:rPr>
          <w:rStyle w:val="25"/>
          <w:rFonts w:hint="eastAsia" w:ascii="仿宋" w:hAnsi="仿宋" w:eastAsia="仿宋"/>
          <w:b w:val="0"/>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color w:val="auto"/>
          <w:sz w:val="32"/>
          <w:szCs w:val="32"/>
          <w:highlight w:val="none"/>
        </w:rPr>
      </w:pPr>
      <w:bookmarkStart w:id="45" w:name="_Toc15377223"/>
      <w:r>
        <w:rPr>
          <w:rFonts w:hint="eastAsia" w:ascii="仿宋" w:hAnsi="仿宋" w:eastAsia="仿宋"/>
          <w:b/>
          <w:color w:val="auto"/>
          <w:sz w:val="32"/>
          <w:szCs w:val="32"/>
          <w:highlight w:val="none"/>
        </w:rPr>
        <w:t>（二）政府采购支出情况</w:t>
      </w:r>
      <w:bookmarkEnd w:id="45"/>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stheme="majorBidi"/>
          <w:bCs/>
          <w:sz w:val="32"/>
          <w:szCs w:val="32"/>
        </w:rPr>
      </w:pPr>
      <w:r>
        <w:rPr>
          <w:rStyle w:val="25"/>
          <w:rFonts w:hint="eastAsia" w:ascii="仿宋" w:hAnsi="仿宋" w:eastAsia="仿宋"/>
          <w:b w:val="0"/>
        </w:rPr>
        <w:t>本单位202</w:t>
      </w:r>
      <w:r>
        <w:rPr>
          <w:rStyle w:val="25"/>
          <w:rFonts w:hint="eastAsia" w:ascii="仿宋" w:hAnsi="仿宋" w:eastAsia="仿宋"/>
          <w:b w:val="0"/>
          <w:lang w:val="en-US" w:eastAsia="zh-CN"/>
        </w:rPr>
        <w:t>1</w:t>
      </w:r>
      <w:r>
        <w:rPr>
          <w:rStyle w:val="25"/>
          <w:rFonts w:hint="eastAsia" w:ascii="仿宋" w:hAnsi="仿宋" w:eastAsia="仿宋"/>
          <w:b w:val="0"/>
        </w:rPr>
        <w:t>年无政府采购项目，未安排政府采购预算。</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ascii="仿宋" w:hAnsi="仿宋" w:eastAsia="仿宋"/>
          <w:b/>
          <w:color w:val="auto"/>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color w:val="auto"/>
          <w:sz w:val="32"/>
          <w:szCs w:val="32"/>
          <w:highlight w:val="none"/>
        </w:rPr>
      </w:pPr>
      <w:bookmarkStart w:id="46" w:name="_Toc15377224"/>
      <w:r>
        <w:rPr>
          <w:rFonts w:hint="eastAsia" w:ascii="仿宋" w:hAnsi="仿宋" w:eastAsia="仿宋"/>
          <w:b/>
          <w:color w:val="auto"/>
          <w:sz w:val="32"/>
          <w:szCs w:val="32"/>
          <w:highlight w:val="none"/>
        </w:rPr>
        <w:t>（三）国有资产占有使用情况</w:t>
      </w:r>
      <w:bookmarkEnd w:id="46"/>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 w:hAnsi="仿宋" w:eastAsia="仿宋"/>
          <w:color w:val="000000"/>
          <w:sz w:val="32"/>
          <w:szCs w:val="32"/>
        </w:rPr>
        <w:t>四川省地矿局九0九水文队共有车辆3辆</w:t>
      </w:r>
      <w:r>
        <w:rPr>
          <w:rFonts w:hint="eastAsia" w:ascii="仿宋_GB2312" w:eastAsia="仿宋_GB2312"/>
          <w:color w:val="auto"/>
          <w:sz w:val="32"/>
          <w:szCs w:val="32"/>
          <w:highlight w:val="none"/>
        </w:rPr>
        <w:t>，其中：主要领导干部用车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 w:hAnsi="仿宋" w:eastAsia="仿宋"/>
          <w:color w:val="000000" w:themeColor="text1"/>
          <w:sz w:val="32"/>
          <w:szCs w:val="32"/>
          <w14:textFill>
            <w14:solidFill>
              <w14:schemeClr w14:val="tx1"/>
            </w14:solidFill>
          </w14:textFill>
        </w:rPr>
        <w:t>其他用车主要是用于水文地质勘查、工程地质勘查相关业务用车</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numPr>
          <w:ilvl w:val="0"/>
          <w:numId w:val="4"/>
        </w:num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预算绩效管理情况</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本单位不涉及</w:t>
      </w:r>
      <w:r>
        <w:rPr>
          <w:rFonts w:hint="eastAsia" w:ascii="仿宋_GB2312" w:eastAsia="仿宋_GB2312"/>
          <w:color w:val="auto"/>
          <w:sz w:val="32"/>
          <w:szCs w:val="32"/>
          <w:highlight w:val="none"/>
          <w:lang w:eastAsia="zh-CN"/>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4"/>
          <w:rFonts w:ascii="黑体" w:hAnsi="黑体" w:eastAsia="黑体"/>
          <w:b w:val="0"/>
          <w:color w:val="auto"/>
          <w:highlight w:val="none"/>
        </w:rPr>
      </w:pPr>
      <w:bookmarkStart w:id="47" w:name="_Toc15396613"/>
      <w:bookmarkStart w:id="48"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7"/>
      <w:bookmarkEnd w:id="48"/>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经营收入：指事业单位在专业业务活动及其辅助活动之外开展非独立核算经营活动取得的收入。</w:t>
      </w:r>
      <w:r>
        <w:rPr>
          <w:rFonts w:hint="eastAsia" w:ascii="仿宋_GB2312" w:eastAsia="仿宋_GB2312"/>
          <w:sz w:val="32"/>
          <w:szCs w:val="32"/>
        </w:rPr>
        <w:t>主要是地勘项目收入</w:t>
      </w:r>
      <w:r>
        <w:rPr>
          <w:rFonts w:hint="eastAsia" w:ascii="仿宋_GB2312" w:eastAsia="仿宋_GB2312"/>
          <w:color w:val="auto"/>
          <w:sz w:val="32"/>
          <w:szCs w:val="32"/>
          <w:highlight w:val="none"/>
        </w:rPr>
        <w:t>。</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w:t>
      </w:r>
      <w:r>
        <w:rPr>
          <w:rFonts w:hint="eastAsia" w:ascii="仿宋_GB2312" w:eastAsia="仿宋_GB2312"/>
          <w:sz w:val="32"/>
          <w:szCs w:val="32"/>
        </w:rPr>
        <w:t>主要是利息收入等</w:t>
      </w:r>
      <w:r>
        <w:rPr>
          <w:rFonts w:hint="eastAsia" w:ascii="仿宋_GB2312" w:eastAsia="仿宋_GB2312"/>
          <w:color w:val="auto"/>
          <w:sz w:val="32"/>
          <w:szCs w:val="32"/>
          <w:highlight w:val="none"/>
        </w:rPr>
        <w:t>。</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Style w:val="14"/>
          <w:rFonts w:hint="eastAsia" w:ascii="仿宋" w:hAnsi="仿宋" w:eastAsia="仿宋"/>
          <w:bCs/>
          <w:color w:val="000000"/>
          <w:sz w:val="32"/>
          <w:szCs w:val="32"/>
        </w:rPr>
        <w:t xml:space="preserve"> </w:t>
      </w:r>
      <w:r>
        <w:rPr>
          <w:rFonts w:hint="eastAsia" w:ascii="仿宋_GB2312" w:hAnsi="Calibri" w:eastAsia="仿宋_GB2312" w:cs="仿宋"/>
          <w:color w:val="000000"/>
          <w:kern w:val="0"/>
          <w:sz w:val="32"/>
          <w:szCs w:val="32"/>
        </w:rPr>
        <w:t>社会保障和就业（类）行政事业单位养老支出（款）机关事业单位基本养老保险缴费（项）：</w:t>
      </w:r>
      <w:r>
        <w:rPr>
          <w:rFonts w:hint="eastAsia" w:ascii="仿宋_GB2312" w:eastAsia="仿宋_GB2312"/>
          <w:color w:val="000000"/>
          <w:sz w:val="32"/>
          <w:szCs w:val="32"/>
        </w:rPr>
        <w:t>指实施养老保险制度由单位缴纳的养老保险费的支出。</w:t>
      </w:r>
    </w:p>
    <w:p>
      <w:pPr>
        <w:pStyle w:val="2"/>
        <w:spacing w:before="93"/>
        <w:ind w:firstLine="640" w:firstLineChars="200"/>
        <w:rPr>
          <w:color w:val="000000"/>
          <w:kern w:val="2"/>
          <w:sz w:val="32"/>
          <w:szCs w:val="32"/>
        </w:rPr>
      </w:pPr>
      <w:r>
        <w:rPr>
          <w:rFonts w:hint="eastAsia"/>
          <w:color w:val="000000"/>
          <w:kern w:val="2"/>
          <w:sz w:val="32"/>
          <w:szCs w:val="32"/>
        </w:rPr>
        <w:t>9.</w:t>
      </w:r>
      <w:r>
        <w:rPr>
          <w:rFonts w:hint="eastAsia"/>
          <w:b/>
          <w:kern w:val="2"/>
          <w:sz w:val="32"/>
          <w:szCs w:val="32"/>
        </w:rPr>
        <w:t xml:space="preserve"> </w:t>
      </w:r>
      <w:r>
        <w:rPr>
          <w:rFonts w:hint="eastAsia"/>
          <w:color w:val="000000"/>
          <w:kern w:val="2"/>
          <w:sz w:val="32"/>
          <w:szCs w:val="32"/>
        </w:rPr>
        <w:t>社会保障和就业（类）行政事业单位养老支出（款）职业年金缴费（项）：指实施养老保险制度由单位缴纳的职业年金的支出。</w:t>
      </w:r>
    </w:p>
    <w:p>
      <w:pPr>
        <w:spacing w:line="580" w:lineRule="exact"/>
        <w:ind w:firstLine="640" w:firstLineChars="200"/>
        <w:rPr>
          <w:rFonts w:ascii="仿宋_GB2312" w:hAnsi="Calibri" w:eastAsia="仿宋_GB2312" w:cs="仿宋"/>
          <w:sz w:val="32"/>
          <w:szCs w:val="32"/>
        </w:rPr>
      </w:pPr>
      <w:r>
        <w:rPr>
          <w:rFonts w:hint="eastAsia" w:ascii="仿宋_GB2312" w:hAnsi="Calibri" w:eastAsia="仿宋_GB2312" w:cs="仿宋"/>
          <w:sz w:val="32"/>
          <w:szCs w:val="32"/>
        </w:rPr>
        <w:t>10.</w:t>
      </w:r>
      <w:r>
        <w:rPr>
          <w:rStyle w:val="14"/>
          <w:rFonts w:hint="eastAsia" w:ascii="仿宋" w:hAnsi="仿宋" w:eastAsia="仿宋"/>
          <w:bCs/>
          <w:color w:val="000000"/>
          <w:sz w:val="32"/>
          <w:szCs w:val="32"/>
        </w:rPr>
        <w:t xml:space="preserve"> </w:t>
      </w:r>
      <w:r>
        <w:rPr>
          <w:rFonts w:hint="eastAsia" w:ascii="仿宋_GB2312" w:hAnsi="Calibri" w:eastAsia="仿宋_GB2312" w:cs="仿宋"/>
          <w:sz w:val="32"/>
          <w:szCs w:val="32"/>
        </w:rPr>
        <w:t>社会保障和就业（类）行政事业单位养老支出（款）事业单位离退休（项）</w:t>
      </w:r>
      <w:r>
        <w:rPr>
          <w:rFonts w:hint="eastAsia" w:hAnsi="Calibri" w:cs="仿宋"/>
          <w:sz w:val="32"/>
          <w:szCs w:val="32"/>
        </w:rPr>
        <w:t>:</w:t>
      </w:r>
      <w:r>
        <w:rPr>
          <w:rFonts w:hint="eastAsia" w:ascii="仿宋_GB2312" w:hAnsi="Calibri" w:eastAsia="仿宋_GB2312" w:cs="仿宋"/>
          <w:sz w:val="32"/>
          <w:szCs w:val="32"/>
        </w:rPr>
        <w:t>指退休人员一次性生活补贴。</w:t>
      </w:r>
    </w:p>
    <w:p>
      <w:pPr>
        <w:pStyle w:val="2"/>
        <w:spacing w:before="93"/>
        <w:ind w:firstLine="640" w:firstLineChars="200"/>
        <w:rPr>
          <w:rFonts w:hAnsi="Calibri" w:cs="仿宋"/>
          <w:kern w:val="2"/>
          <w:sz w:val="32"/>
          <w:szCs w:val="32"/>
        </w:rPr>
      </w:pPr>
      <w:r>
        <w:rPr>
          <w:rFonts w:hint="eastAsia"/>
          <w:sz w:val="32"/>
          <w:szCs w:val="32"/>
        </w:rPr>
        <w:t>11.</w:t>
      </w:r>
      <w:r>
        <w:rPr>
          <w:rFonts w:hint="eastAsia" w:ascii="仿宋" w:hAnsi="仿宋" w:eastAsia="仿宋"/>
          <w:b/>
          <w:bCs/>
          <w:color w:val="000000" w:themeColor="text1"/>
          <w:sz w:val="32"/>
          <w:szCs w:val="32"/>
          <w14:textFill>
            <w14:solidFill>
              <w14:schemeClr w14:val="tx1"/>
            </w14:solidFill>
          </w14:textFill>
        </w:rPr>
        <w:t xml:space="preserve"> </w:t>
      </w:r>
      <w:r>
        <w:rPr>
          <w:rFonts w:hint="eastAsia" w:hAnsi="Calibri" w:cs="仿宋"/>
          <w:kern w:val="2"/>
          <w:sz w:val="32"/>
          <w:szCs w:val="32"/>
        </w:rPr>
        <w:t>卫生健康（类）行政事业单位医疗（款）职工基本医疗保险缴费（项）：指用于缴纳单位基本医疗保险支出。</w:t>
      </w:r>
    </w:p>
    <w:p>
      <w:pPr>
        <w:pStyle w:val="2"/>
        <w:spacing w:before="93"/>
        <w:ind w:firstLine="640" w:firstLineChars="200"/>
        <w:rPr>
          <w:sz w:val="32"/>
          <w:szCs w:val="32"/>
        </w:rPr>
      </w:pPr>
      <w:r>
        <w:rPr>
          <w:rFonts w:hint="eastAsia" w:hAnsi="Calibri" w:cs="仿宋"/>
          <w:kern w:val="2"/>
          <w:sz w:val="32"/>
          <w:szCs w:val="32"/>
        </w:rPr>
        <w:t>12.资源勘探工业信息等支出（类）资源勘探开发（款）其他资源勘探开发（项）：指</w:t>
      </w:r>
      <w:r>
        <w:rPr>
          <w:rFonts w:hint="eastAsia"/>
          <w:sz w:val="32"/>
          <w:szCs w:val="32"/>
        </w:rPr>
        <w:t>人员工资津补贴、日常运转。</w:t>
      </w:r>
    </w:p>
    <w:p>
      <w:pPr>
        <w:pStyle w:val="2"/>
        <w:spacing w:before="93"/>
        <w:ind w:firstLine="640" w:firstLineChars="200"/>
        <w:rPr>
          <w:rFonts w:hAnsi="Calibri" w:cs="仿宋"/>
          <w:kern w:val="2"/>
          <w:sz w:val="32"/>
          <w:szCs w:val="32"/>
        </w:rPr>
      </w:pPr>
      <w:r>
        <w:rPr>
          <w:rFonts w:hint="eastAsia" w:hAnsi="Calibri" w:cs="仿宋"/>
          <w:kern w:val="2"/>
          <w:sz w:val="32"/>
          <w:szCs w:val="32"/>
        </w:rPr>
        <w:t>13.住房保障支出（类）住房改革支出（款）住房公积金（项）：指</w:t>
      </w:r>
      <w:r>
        <w:rPr>
          <w:rFonts w:hint="eastAsia"/>
          <w:sz w:val="32"/>
          <w:szCs w:val="32"/>
        </w:rPr>
        <w:t>按照规定标准为职工缴纳的住房公积金。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Fonts w:hint="eastAsia" w:ascii="仿宋" w:hAnsi="仿宋" w:eastAsia="仿宋"/>
          <w:b w:val="0"/>
          <w:color w:val="auto"/>
          <w:highlight w:val="none"/>
        </w:rPr>
      </w:pPr>
      <w:bookmarkStart w:id="49" w:name="_Toc15377226"/>
      <w:r>
        <w:rPr>
          <w:rFonts w:ascii="宋体"/>
          <w:b/>
          <w:color w:val="auto"/>
          <w:sz w:val="44"/>
          <w:szCs w:val="44"/>
          <w:highlight w:val="none"/>
        </w:rPr>
        <w:br w:type="page"/>
      </w:r>
      <w:bookmarkStart w:id="50" w:name="_Toc15396618"/>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lang w:eastAsia="zh-CN"/>
        </w:rPr>
        <w:t>四</w:t>
      </w:r>
      <w:r>
        <w:rPr>
          <w:rStyle w:val="24"/>
          <w:rFonts w:hint="eastAsia" w:ascii="黑体" w:hAnsi="黑体" w:eastAsia="黑体"/>
          <w:b w:val="0"/>
          <w:color w:val="auto"/>
          <w:highlight w:val="none"/>
        </w:rPr>
        <w:t>部分 附表</w:t>
      </w:r>
      <w:bookmarkEnd w:id="49"/>
      <w:bookmarkEnd w:id="50"/>
      <w:bookmarkStart w:id="51"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1"/>
    </w:p>
    <w:p>
      <w:pPr>
        <w:pStyle w:val="4"/>
        <w:rPr>
          <w:rFonts w:ascii="仿宋" w:hAnsi="仿宋" w:eastAsia="仿宋"/>
          <w:color w:val="auto"/>
          <w:highlight w:val="none"/>
        </w:rPr>
      </w:pPr>
      <w:bookmarkStart w:id="52"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2"/>
    </w:p>
    <w:p>
      <w:pPr>
        <w:pStyle w:val="4"/>
        <w:rPr>
          <w:rFonts w:ascii="仿宋" w:hAnsi="仿宋" w:eastAsia="仿宋"/>
          <w:color w:val="auto"/>
          <w:highlight w:val="none"/>
        </w:rPr>
      </w:pPr>
      <w:bookmarkStart w:id="53"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3"/>
    </w:p>
    <w:p>
      <w:pPr>
        <w:pStyle w:val="4"/>
        <w:rPr>
          <w:rFonts w:ascii="仿宋" w:hAnsi="仿宋" w:eastAsia="仿宋"/>
          <w:b w:val="0"/>
          <w:color w:val="auto"/>
          <w:highlight w:val="none"/>
        </w:rPr>
      </w:pPr>
      <w:bookmarkStart w:id="54"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4"/>
    </w:p>
    <w:p>
      <w:pPr>
        <w:pStyle w:val="4"/>
        <w:rPr>
          <w:rStyle w:val="25"/>
          <w:rFonts w:ascii="仿宋" w:hAnsi="仿宋" w:eastAsia="仿宋"/>
          <w:b w:val="0"/>
          <w:bCs w:val="0"/>
          <w:color w:val="auto"/>
          <w:highlight w:val="none"/>
        </w:rPr>
      </w:pPr>
      <w:bookmarkStart w:id="55"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5"/>
      <w:bookmarkStart w:id="56"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6"/>
    </w:p>
    <w:p>
      <w:pPr>
        <w:pStyle w:val="4"/>
        <w:rPr>
          <w:rFonts w:ascii="仿宋" w:hAnsi="仿宋" w:eastAsia="仿宋"/>
          <w:color w:val="auto"/>
          <w:highlight w:val="none"/>
        </w:rPr>
      </w:pPr>
      <w:bookmarkStart w:id="57"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57"/>
    </w:p>
    <w:p>
      <w:pPr>
        <w:pStyle w:val="4"/>
        <w:rPr>
          <w:rFonts w:ascii="仿宋" w:hAnsi="仿宋" w:eastAsia="仿宋"/>
          <w:color w:val="auto"/>
          <w:highlight w:val="none"/>
        </w:rPr>
      </w:pPr>
      <w:bookmarkStart w:id="58"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58"/>
    </w:p>
    <w:p>
      <w:pPr>
        <w:pStyle w:val="4"/>
        <w:rPr>
          <w:rFonts w:ascii="仿宋" w:hAnsi="仿宋" w:eastAsia="仿宋"/>
          <w:color w:val="auto"/>
          <w:highlight w:val="none"/>
        </w:rPr>
      </w:pPr>
      <w:bookmarkStart w:id="59"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59"/>
    </w:p>
    <w:p>
      <w:pPr>
        <w:pStyle w:val="4"/>
        <w:rPr>
          <w:rFonts w:ascii="仿宋" w:hAnsi="仿宋" w:eastAsia="仿宋"/>
          <w:color w:val="auto"/>
          <w:highlight w:val="none"/>
        </w:rPr>
      </w:pPr>
      <w:bookmarkStart w:id="60"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0"/>
    </w:p>
    <w:p>
      <w:pPr>
        <w:pStyle w:val="4"/>
        <w:rPr>
          <w:rFonts w:ascii="仿宋" w:hAnsi="仿宋" w:eastAsia="仿宋"/>
          <w:color w:val="auto"/>
          <w:highlight w:val="none"/>
        </w:rPr>
      </w:pPr>
      <w:bookmarkStart w:id="61"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1"/>
    </w:p>
    <w:p>
      <w:pPr>
        <w:pStyle w:val="4"/>
        <w:rPr>
          <w:rFonts w:ascii="仿宋" w:hAnsi="仿宋" w:eastAsia="仿宋"/>
          <w:color w:val="auto"/>
          <w:highlight w:val="none"/>
        </w:rPr>
      </w:pPr>
      <w:bookmarkStart w:id="62"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2"/>
    </w:p>
    <w:p>
      <w:pPr>
        <w:pStyle w:val="4"/>
        <w:rPr>
          <w:rStyle w:val="25"/>
          <w:rFonts w:hint="eastAsia" w:ascii="仿宋" w:hAnsi="仿宋" w:eastAsia="仿宋"/>
          <w:b w:val="0"/>
          <w:bCs w:val="0"/>
          <w:color w:val="auto"/>
          <w:highlight w:val="none"/>
        </w:rPr>
      </w:pPr>
      <w:bookmarkStart w:id="63"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3"/>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00DAF"/>
    <w:multiLevelType w:val="singleLevel"/>
    <w:tmpl w:val="A5100DAF"/>
    <w:lvl w:ilvl="0" w:tentative="0">
      <w:start w:val="1"/>
      <w:numFmt w:val="decimal"/>
      <w:suff w:val="nothing"/>
      <w:lvlText w:val="%1、"/>
      <w:lvlJc w:val="left"/>
    </w:lvl>
  </w:abstractNum>
  <w:abstractNum w:abstractNumId="1">
    <w:nsid w:val="A8F8CFAB"/>
    <w:multiLevelType w:val="singleLevel"/>
    <w:tmpl w:val="A8F8CFAB"/>
    <w:lvl w:ilvl="0" w:tentative="0">
      <w:start w:val="1"/>
      <w:numFmt w:val="chineseCounting"/>
      <w:suff w:val="space"/>
      <w:lvlText w:val="第%1部分"/>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0878DD1"/>
    <w:multiLevelType w:val="singleLevel"/>
    <w:tmpl w:val="70878DD1"/>
    <w:lvl w:ilvl="0" w:tentative="0">
      <w:start w:val="4"/>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NzVkODM0MGI3NDllNzAxMzM3ZGI5ZWViY2Q5N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03AC5"/>
    <w:rsid w:val="03125F58"/>
    <w:rsid w:val="066A7A79"/>
    <w:rsid w:val="09250AB1"/>
    <w:rsid w:val="0945285C"/>
    <w:rsid w:val="09FD2314"/>
    <w:rsid w:val="0A2032A3"/>
    <w:rsid w:val="0A567102"/>
    <w:rsid w:val="0B114967"/>
    <w:rsid w:val="0B446AEB"/>
    <w:rsid w:val="0B8A37D8"/>
    <w:rsid w:val="0C833643"/>
    <w:rsid w:val="0DF0724A"/>
    <w:rsid w:val="10C055FF"/>
    <w:rsid w:val="118107EC"/>
    <w:rsid w:val="11DD6519"/>
    <w:rsid w:val="120169D4"/>
    <w:rsid w:val="12105E66"/>
    <w:rsid w:val="1252290F"/>
    <w:rsid w:val="126B7053"/>
    <w:rsid w:val="14B87596"/>
    <w:rsid w:val="16BB723D"/>
    <w:rsid w:val="17A2532C"/>
    <w:rsid w:val="18015F3F"/>
    <w:rsid w:val="189F6D65"/>
    <w:rsid w:val="193E101D"/>
    <w:rsid w:val="1BE8440E"/>
    <w:rsid w:val="1D155CEE"/>
    <w:rsid w:val="20F57F95"/>
    <w:rsid w:val="240371BF"/>
    <w:rsid w:val="25C741E6"/>
    <w:rsid w:val="272C0820"/>
    <w:rsid w:val="27842671"/>
    <w:rsid w:val="29FD04D3"/>
    <w:rsid w:val="2A1244CF"/>
    <w:rsid w:val="2ABE7A3E"/>
    <w:rsid w:val="2B4C3E1E"/>
    <w:rsid w:val="2D9D235F"/>
    <w:rsid w:val="2DAB4194"/>
    <w:rsid w:val="2E0B6A2C"/>
    <w:rsid w:val="2E8C4181"/>
    <w:rsid w:val="2EAA77EF"/>
    <w:rsid w:val="2EFA178C"/>
    <w:rsid w:val="2FD72844"/>
    <w:rsid w:val="30B46D73"/>
    <w:rsid w:val="319F7F4E"/>
    <w:rsid w:val="31D04385"/>
    <w:rsid w:val="32321585"/>
    <w:rsid w:val="34EC6EEC"/>
    <w:rsid w:val="37F6518B"/>
    <w:rsid w:val="39AE70AB"/>
    <w:rsid w:val="3BBA40DC"/>
    <w:rsid w:val="3C0C0783"/>
    <w:rsid w:val="3F7B76F3"/>
    <w:rsid w:val="3F9F3A96"/>
    <w:rsid w:val="41436921"/>
    <w:rsid w:val="42306ED6"/>
    <w:rsid w:val="450B19A6"/>
    <w:rsid w:val="46FE34D9"/>
    <w:rsid w:val="48732E0C"/>
    <w:rsid w:val="493C27E9"/>
    <w:rsid w:val="496F39ED"/>
    <w:rsid w:val="49CF169A"/>
    <w:rsid w:val="49FF41D3"/>
    <w:rsid w:val="4AC07235"/>
    <w:rsid w:val="4BE068DB"/>
    <w:rsid w:val="4BF6002B"/>
    <w:rsid w:val="4ECE2238"/>
    <w:rsid w:val="517D466E"/>
    <w:rsid w:val="51DB4B86"/>
    <w:rsid w:val="549843F8"/>
    <w:rsid w:val="55333C3E"/>
    <w:rsid w:val="56DD43B8"/>
    <w:rsid w:val="57D811C1"/>
    <w:rsid w:val="59F830B2"/>
    <w:rsid w:val="5A2644A0"/>
    <w:rsid w:val="5A7B613B"/>
    <w:rsid w:val="5E6837F3"/>
    <w:rsid w:val="5E767EDE"/>
    <w:rsid w:val="62487DE4"/>
    <w:rsid w:val="6299063F"/>
    <w:rsid w:val="64CA39A1"/>
    <w:rsid w:val="650A3135"/>
    <w:rsid w:val="6BBB6E2F"/>
    <w:rsid w:val="6C4A05C8"/>
    <w:rsid w:val="6E5378F4"/>
    <w:rsid w:val="6EE64203"/>
    <w:rsid w:val="6FED3D79"/>
    <w:rsid w:val="712D6B22"/>
    <w:rsid w:val="72734D90"/>
    <w:rsid w:val="728F1BF4"/>
    <w:rsid w:val="72AE77EF"/>
    <w:rsid w:val="74DD3CC6"/>
    <w:rsid w:val="76EC2AAF"/>
    <w:rsid w:val="783C764B"/>
    <w:rsid w:val="79AA4A8A"/>
    <w:rsid w:val="79E7B28D"/>
    <w:rsid w:val="7EFE1AFE"/>
    <w:rsid w:val="7F23563A"/>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收支总计</a:t>
            </a:r>
            <a:endParaRPr lang="zh-CN" altLang="en-US"/>
          </a:p>
        </c:rich>
      </c:tx>
      <c:layout/>
      <c:overlay val="0"/>
    </c:title>
    <c:autoTitleDeleted val="0"/>
    <c:plotArea>
      <c:layout/>
      <c:barChart>
        <c:barDir val="col"/>
        <c:grouping val="clustered"/>
        <c:varyColors val="0"/>
        <c:ser>
          <c:idx val="0"/>
          <c:order val="0"/>
          <c:tx>
            <c:strRef>
              <c:f>Sheet1!$B$1</c:f>
              <c:strCache>
                <c:ptCount val="1"/>
                <c:pt idx="0">
                  <c:v>收入总计</c:v>
                </c:pt>
              </c:strCache>
            </c:strRef>
          </c:tx>
          <c:invertIfNegative val="0"/>
          <c:dLbls>
            <c:dLbl>
              <c:idx val="0"/>
              <c:layout>
                <c:manualLayout>
                  <c:x val="0.00963159162051529"/>
                  <c:y val="0"/>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2269.94</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40789790512882"/>
                  <c:y val="0.012383900928792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2256.46</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2269.94</c:v>
                </c:pt>
                <c:pt idx="1">
                  <c:v>2256.46</c:v>
                </c:pt>
              </c:numCache>
            </c:numRef>
          </c:val>
        </c:ser>
        <c:dLbls>
          <c:showLegendKey val="0"/>
          <c:showVal val="1"/>
          <c:showCatName val="0"/>
          <c:showSerName val="0"/>
          <c:showPercent val="0"/>
          <c:showBubbleSize val="0"/>
        </c:dLbls>
        <c:gapWidth val="150"/>
        <c:axId val="138145792"/>
        <c:axId val="201462912"/>
      </c:barChart>
      <c:catAx>
        <c:axId val="13814579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462912"/>
        <c:crosses val="autoZero"/>
        <c:auto val="1"/>
        <c:lblAlgn val="ctr"/>
        <c:lblOffset val="100"/>
        <c:noMultiLvlLbl val="0"/>
      </c:catAx>
      <c:valAx>
        <c:axId val="201462912"/>
        <c:scaling>
          <c:orientation val="minMax"/>
          <c:max val="3000"/>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145792"/>
        <c:crosses val="autoZero"/>
        <c:crossBetween val="between"/>
        <c:majorUnit val="500"/>
        <c:minorUnit val="1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Pt>
            <c:idx val="1"/>
            <c:bubble3D val="0"/>
          </c:dPt>
          <c:dPt>
            <c:idx val="2"/>
            <c:bubble3D val="0"/>
          </c:dPt>
          <c:dLbls>
            <c:dLbl>
              <c:idx val="0"/>
              <c:layout>
                <c:manualLayout>
                  <c:x val="-0.133699479173579"/>
                  <c:y val="-0.2076159365528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b="1"/>
                      <a:t>一般公共预算财政拨款收入</a:t>
                    </a:r>
                    <a:r>
                      <a:rPr lang="en-US" altLang="en-US" b="1"/>
                      <a:t>2104.02</a:t>
                    </a:r>
                    <a:r>
                      <a:rPr lang="zh-CN" altLang="en-US" b="1"/>
                      <a:t>万元，占年收入</a:t>
                    </a:r>
                    <a:r>
                      <a:rPr lang="en-US" altLang="zh-CN" b="1"/>
                      <a:t>93.24%</a:t>
                    </a:r>
                    <a:endParaRPr lang="en-US" altLang="en-US"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4629124845098"/>
                  <c:y val="0.0090815273477812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b="1"/>
                      <a:t>经营收入</a:t>
                    </a:r>
                    <a:r>
                      <a:rPr lang="en-US" altLang="en-US" b="1"/>
                      <a:t>138.53</a:t>
                    </a:r>
                    <a:r>
                      <a:rPr lang="zh-CN" altLang="en-US" b="1"/>
                      <a:t>万元，占年收入</a:t>
                    </a:r>
                    <a:r>
                      <a:rPr lang="en-US" altLang="zh-CN" b="1"/>
                      <a:t>6.14%</a:t>
                    </a:r>
                    <a:endParaRPr lang="en-US" altLang="en-US"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23345233784135"/>
                  <c:y val="0"/>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b="1"/>
                      <a:t>其他收入</a:t>
                    </a:r>
                    <a:r>
                      <a:rPr lang="en-US" altLang="en-US" b="1"/>
                      <a:t>13.91</a:t>
                    </a:r>
                    <a:r>
                      <a:rPr lang="zh-CN" altLang="en-US" b="1"/>
                      <a:t>万元，占年收入</a:t>
                    </a:r>
                    <a:r>
                      <a:rPr lang="en-US" altLang="zh-CN" b="1"/>
                      <a:t>0.62%</a:t>
                    </a:r>
                    <a:endParaRPr lang="en-US" altLang="en-US"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经营收入</c:v>
                </c:pt>
                <c:pt idx="2">
                  <c:v>其他收入</c:v>
                </c:pt>
              </c:strCache>
            </c:strRef>
          </c:cat>
          <c:val>
            <c:numRef>
              <c:f>Sheet1!$B$2:$B$4</c:f>
              <c:numCache>
                <c:formatCode>General</c:formatCode>
                <c:ptCount val="3"/>
                <c:pt idx="0">
                  <c:v>2104.02</c:v>
                </c:pt>
                <c:pt idx="1">
                  <c:v>138.53</c:v>
                </c:pt>
                <c:pt idx="2">
                  <c:v>13.91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Pt>
            <c:idx val="1"/>
            <c:bubble3D val="0"/>
          </c:dPt>
          <c:dLbls>
            <c:dLbl>
              <c:idx val="0"/>
              <c:layout>
                <c:manualLayout>
                  <c:x val="-0.0520190130872816"/>
                  <c:y val="-0.155165466701983"/>
                </c:manualLayout>
              </c:layout>
              <c:tx>
                <c:rich>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solidFill>
                        </a:uFill>
                        <a:latin typeface="+mn-lt"/>
                        <a:ea typeface="+mn-ea"/>
                        <a:cs typeface="+mn-cs"/>
                      </a:defRPr>
                    </a:pPr>
                    <a:r>
                      <a:rPr lang="zh-CN" altLang="en-US" sz="1200" b="1" u="none" strike="noStrike" cap="none" normalizeH="0">
                        <a:solidFill>
                          <a:schemeClr val="tx1"/>
                        </a:solidFill>
                        <a:uFill>
                          <a:solidFill>
                            <a:schemeClr val="tx1"/>
                          </a:solidFill>
                        </a:uFill>
                      </a:rPr>
                      <a:t>基本支出</a:t>
                    </a:r>
                    <a:r>
                      <a:rPr lang="en-US" altLang="en-US" sz="1200" b="1" u="none" strike="noStrike" cap="none" normalizeH="0">
                        <a:solidFill>
                          <a:schemeClr val="tx1"/>
                        </a:solidFill>
                        <a:uFill>
                          <a:solidFill>
                            <a:schemeClr val="tx1"/>
                          </a:solidFill>
                        </a:uFill>
                      </a:rPr>
                      <a:t>2104.02</a:t>
                    </a:r>
                    <a:r>
                      <a:rPr lang="zh-CN" altLang="en-US" sz="1200" b="1" u="none" strike="noStrike" cap="none" normalizeH="0">
                        <a:solidFill>
                          <a:schemeClr val="tx1"/>
                        </a:solidFill>
                        <a:uFill>
                          <a:solidFill>
                            <a:schemeClr val="tx1"/>
                          </a:solidFill>
                        </a:uFill>
                      </a:rPr>
                      <a:t>万元，占年支出</a:t>
                    </a:r>
                    <a:r>
                      <a:rPr lang="en-US" altLang="zh-CN" sz="1200" b="1" u="none" strike="noStrike" cap="none" normalizeH="0">
                        <a:solidFill>
                          <a:schemeClr val="tx1"/>
                        </a:solidFill>
                        <a:uFill>
                          <a:solidFill>
                            <a:schemeClr val="tx1"/>
                          </a:solidFill>
                        </a:uFill>
                      </a:rPr>
                      <a:t>93.83%</a:t>
                    </a:r>
                    <a:endParaRPr lang="en-US" altLang="en-US" sz="1200" b="1" u="none" strike="noStrike" cap="none" normalizeH="0">
                      <a:solidFill>
                        <a:schemeClr val="tx1"/>
                      </a:solidFill>
                      <a:uFill>
                        <a:solidFill>
                          <a:schemeClr val="tx1"/>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200170354190451"/>
                  <c:y val="1.68774996617601e-17"/>
                </c:manualLayout>
              </c:layout>
              <c:tx>
                <c:rich>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solidFill>
                        </a:uFill>
                        <a:latin typeface="+mn-lt"/>
                        <a:ea typeface="+mn-ea"/>
                        <a:cs typeface="+mn-cs"/>
                      </a:defRPr>
                    </a:pPr>
                    <a:r>
                      <a:rPr lang="zh-CN" altLang="en-US" sz="1200" b="1" u="none" strike="noStrike" cap="none" normalizeH="0">
                        <a:solidFill>
                          <a:schemeClr val="tx1"/>
                        </a:solidFill>
                        <a:uFill>
                          <a:solidFill>
                            <a:schemeClr val="tx1"/>
                          </a:solidFill>
                        </a:uFill>
                      </a:rPr>
                      <a:t>经营支出</a:t>
                    </a:r>
                    <a:r>
                      <a:rPr lang="en-US" altLang="en-US" sz="1200" b="1" u="none" strike="noStrike" cap="none" normalizeH="0">
                        <a:solidFill>
                          <a:schemeClr val="tx1"/>
                        </a:solidFill>
                        <a:uFill>
                          <a:solidFill>
                            <a:schemeClr val="tx1"/>
                          </a:solidFill>
                        </a:uFill>
                      </a:rPr>
                      <a:t>138.41</a:t>
                    </a:r>
                    <a:r>
                      <a:rPr lang="zh-CN" altLang="en-US" sz="1200" b="1" u="none" strike="noStrike" cap="none" normalizeH="0">
                        <a:solidFill>
                          <a:schemeClr val="tx1"/>
                        </a:solidFill>
                        <a:uFill>
                          <a:solidFill>
                            <a:schemeClr val="tx1"/>
                          </a:solidFill>
                        </a:uFill>
                      </a:rPr>
                      <a:t>万元，占年支出</a:t>
                    </a:r>
                    <a:r>
                      <a:rPr lang="en-US" altLang="zh-CN" sz="1200" b="1" u="none" strike="noStrike" cap="none" normalizeH="0">
                        <a:solidFill>
                          <a:schemeClr val="tx1"/>
                        </a:solidFill>
                        <a:uFill>
                          <a:solidFill>
                            <a:schemeClr val="tx1"/>
                          </a:solidFill>
                        </a:uFill>
                      </a:rPr>
                      <a:t>6.17%</a:t>
                    </a:r>
                    <a:endParaRPr lang="en-US" altLang="en-US" sz="1200" b="1" u="none" strike="noStrike" cap="none" normalizeH="0">
                      <a:solidFill>
                        <a:schemeClr val="tx1"/>
                      </a:solidFill>
                      <a:uFill>
                        <a:solidFill>
                          <a:schemeClr val="tx1"/>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solidFill>
                    </a:u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经营支出</c:v>
                </c:pt>
              </c:strCache>
            </c:strRef>
          </c:cat>
          <c:val>
            <c:numRef>
              <c:f>Sheet1!$B$2:$B$3</c:f>
              <c:numCache>
                <c:formatCode>General</c:formatCode>
                <c:ptCount val="2"/>
                <c:pt idx="0">
                  <c:v>2104.02</c:v>
                </c:pt>
                <c:pt idx="1">
                  <c:v>138.41</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rot="0" spcFirstLastPara="0" vertOverflow="ellipsis" vert="horz" wrap="square" anchor="ctr" anchorCtr="1"/>
          <a:lstStyle/>
          <a:p>
            <a:pPr>
              <a:defRPr lang="zh-CN" sz="1000" b="0" i="0" u="none" strike="noStrike" kern="0" cap="none" spc="0" normalizeH="0" baseline="0">
                <a:solidFill>
                  <a:schemeClr val="tx1"/>
                </a:solidFill>
                <a:uFill>
                  <a:solidFill>
                    <a:schemeClr val="tx1"/>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0" cap="none" spc="0" normalizeH="0" baseline="0">
                <a:solidFill>
                  <a:schemeClr val="tx1"/>
                </a:solidFill>
                <a:uFill>
                  <a:solidFill>
                    <a:schemeClr val="tx1"/>
                  </a:solidFill>
                </a:uFill>
                <a:latin typeface="+mn-lt"/>
                <a:ea typeface="+mn-ea"/>
                <a:cs typeface="+mn-cs"/>
              </a:defRPr>
            </a:pPr>
          </a:p>
        </c:txPr>
      </c:legendEntry>
      <c:layout/>
      <c:overlay val="0"/>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solidFill>
              </a:uFill>
              <a:latin typeface="+mn-lt"/>
              <a:ea typeface="+mn-ea"/>
              <a:cs typeface="+mn-cs"/>
            </a:defRPr>
          </a:pPr>
        </a:p>
      </c:txPr>
    </c:legend>
    <c:plotVisOnly val="1"/>
    <c:dispBlanksAs val="gap"/>
    <c:showDLblsOverMax val="0"/>
  </c:chart>
  <c:txPr>
    <a:bodyPr/>
    <a:lstStyle/>
    <a:p>
      <a:pPr>
        <a:defRPr lang="zh-CN" u="none" strike="noStrike" kern="0" cap="none" spc="0" normalizeH="0">
          <a:solidFill>
            <a:schemeClr val="tx1"/>
          </a:solidFill>
          <a:uFill>
            <a:solidFill>
              <a:schemeClr val="tx1"/>
            </a:solidFill>
          </a:u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121297002694"/>
          <c:y val="0.0402010519436059"/>
          <c:w val="0.450163983345486"/>
          <c:h val="0.707652526635752"/>
        </c:manualLayout>
      </c:layout>
      <c:barChart>
        <c:barDir val="col"/>
        <c:grouping val="clustered"/>
        <c:varyColors val="0"/>
        <c:ser>
          <c:idx val="0"/>
          <c:order val="0"/>
          <c:tx>
            <c:strRef>
              <c:f>Sheet1!$B$1</c:f>
              <c:strCache>
                <c:ptCount val="1"/>
                <c:pt idx="0">
                  <c:v>财政拨款收支总计</c:v>
                </c:pt>
              </c:strCache>
            </c:strRef>
          </c:tx>
          <c:invertIfNegative val="0"/>
          <c:dLbls>
            <c:dLbl>
              <c:idx val="0"/>
              <c:layout>
                <c:manualLayout>
                  <c:x val="0.00963159162051529"/>
                  <c:y val="0"/>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2062.10</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40789790512882"/>
                  <c:y val="0.012383900928792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2104.02</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2062.1</c:v>
                </c:pt>
                <c:pt idx="1">
                  <c:v>2104.02</c:v>
                </c:pt>
              </c:numCache>
            </c:numRef>
          </c:val>
        </c:ser>
        <c:dLbls>
          <c:showLegendKey val="0"/>
          <c:showVal val="1"/>
          <c:showCatName val="0"/>
          <c:showSerName val="0"/>
          <c:showPercent val="0"/>
          <c:showBubbleSize val="0"/>
        </c:dLbls>
        <c:gapWidth val="150"/>
        <c:axId val="203259264"/>
        <c:axId val="203244672"/>
      </c:barChart>
      <c:catAx>
        <c:axId val="2032592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3244672"/>
        <c:crosses val="autoZero"/>
        <c:auto val="1"/>
        <c:lblAlgn val="ctr"/>
        <c:lblOffset val="100"/>
        <c:noMultiLvlLbl val="0"/>
      </c:catAx>
      <c:valAx>
        <c:axId val="203244672"/>
        <c:scaling>
          <c:orientation val="minMax"/>
          <c:max val="3000"/>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3259264"/>
        <c:crosses val="autoZero"/>
        <c:crossBetween val="between"/>
        <c:majorUnit val="500"/>
        <c:minorUnit val="1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c:v>
                </c:pt>
              </c:strCache>
            </c:strRef>
          </c:tx>
          <c:invertIfNegative val="0"/>
          <c:dLbls>
            <c:dLbl>
              <c:idx val="0"/>
              <c:layout>
                <c:manualLayout>
                  <c:x val="0.00963159162051529"/>
                  <c:y val="0"/>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2062.10</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40789790512882"/>
                  <c:y val="0.012383900928792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2104.02</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2062.1</c:v>
                </c:pt>
                <c:pt idx="1">
                  <c:v>2104.02</c:v>
                </c:pt>
              </c:numCache>
            </c:numRef>
          </c:val>
        </c:ser>
        <c:dLbls>
          <c:showLegendKey val="0"/>
          <c:showVal val="1"/>
          <c:showCatName val="0"/>
          <c:showSerName val="0"/>
          <c:showPercent val="0"/>
          <c:showBubbleSize val="0"/>
        </c:dLbls>
        <c:gapWidth val="150"/>
        <c:axId val="205550336"/>
        <c:axId val="205551872"/>
      </c:barChart>
      <c:catAx>
        <c:axId val="2055503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5551872"/>
        <c:crosses val="autoZero"/>
        <c:auto val="1"/>
        <c:lblAlgn val="ctr"/>
        <c:lblOffset val="100"/>
        <c:noMultiLvlLbl val="0"/>
      </c:catAx>
      <c:valAx>
        <c:axId val="205551872"/>
        <c:scaling>
          <c:orientation val="minMax"/>
          <c:max val="3000"/>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5550336"/>
        <c:crosses val="autoZero"/>
        <c:crossBetween val="between"/>
        <c:majorUnit val="500"/>
        <c:minorUnit val="1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67256549678695"/>
          <c:y val="0.107838616714697"/>
          <c:w val="0.587681660899654"/>
          <c:h val="0.778559077809798"/>
        </c:manualLayout>
      </c:layout>
      <c:pie3DChart>
        <c:varyColors val="1"/>
        <c:ser>
          <c:idx val="0"/>
          <c:order val="0"/>
          <c:tx>
            <c:strRef>
              <c:f>Sheet1!$B$1</c:f>
              <c:strCache>
                <c:ptCount val="1"/>
                <c:pt idx="0">
                  <c:v>列1</c:v>
                </c:pt>
              </c:strCache>
            </c:strRef>
          </c:tx>
          <c:explosion val="0"/>
          <c:dPt>
            <c:idx val="0"/>
            <c:bubble3D val="0"/>
          </c:dPt>
          <c:dPt>
            <c:idx val="1"/>
            <c:bubble3D val="0"/>
          </c:dPt>
          <c:dPt>
            <c:idx val="2"/>
            <c:bubble3D val="0"/>
          </c:dPt>
          <c:dPt>
            <c:idx val="3"/>
            <c:bubble3D val="0"/>
          </c:dPt>
          <c:dLbls>
            <c:dLbl>
              <c:idx val="0"/>
              <c:layout>
                <c:manualLayout>
                  <c:x val="-0.036950163046461"/>
                  <c:y val="-0.1066175579188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sz="900" b="1"/>
                      <a:t>社会保障和就业支出</a:t>
                    </a:r>
                    <a:r>
                      <a:rPr lang="en-US" altLang="en-US" sz="900" b="1"/>
                      <a:t>610.94</a:t>
                    </a:r>
                    <a:r>
                      <a:rPr lang="zh-CN" altLang="en-US" sz="900" b="1"/>
                      <a:t>万元，占</a:t>
                    </a:r>
                    <a:r>
                      <a:rPr lang="en-US" altLang="zh-CN" sz="900" b="1"/>
                      <a:t>29.04%</a:t>
                    </a:r>
                    <a:endParaRPr lang="en-US" altLang="en-US" sz="9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60049931653251"/>
                  <c:y val="-0.41340186475168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b="1"/>
                      <a:t>卫生健康支出</a:t>
                    </a:r>
                    <a:r>
                      <a:rPr lang="en-US" altLang="en-US" b="1"/>
                      <a:t>69.06</a:t>
                    </a:r>
                    <a:r>
                      <a:rPr lang="zh-CN" altLang="en-US" b="1"/>
                      <a:t>万元，占</a:t>
                    </a:r>
                    <a:r>
                      <a:rPr lang="en-US" altLang="zh-CN" b="1"/>
                      <a:t>3.28%</a:t>
                    </a:r>
                    <a:endParaRPr lang="en-US" altLang="en-US"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0114873533185"/>
                  <c:y val="0.23630873987726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b="1"/>
                      <a:t>住房保障支出</a:t>
                    </a:r>
                    <a:r>
                      <a:rPr lang="en-US" altLang="en-US" b="1"/>
                      <a:t>175.28</a:t>
                    </a:r>
                    <a:r>
                      <a:rPr lang="zh-CN" altLang="en-US" b="1"/>
                      <a:t>万元，占比</a:t>
                    </a:r>
                    <a:r>
                      <a:rPr lang="en-US" altLang="zh-CN" b="1"/>
                      <a:t>8.33%</a:t>
                    </a:r>
                    <a:endParaRPr lang="en-US" altLang="en-US"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922434323501126"/>
                  <c:y val="0.22873642129253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sz="900" b="1"/>
                      <a:t>资源勘探信息等支出</a:t>
                    </a:r>
                    <a:r>
                      <a:rPr lang="en-US" altLang="en-US" sz="900" b="1"/>
                      <a:t>1248.74</a:t>
                    </a:r>
                    <a:r>
                      <a:rPr lang="zh-CN" altLang="en-US" sz="900" b="1"/>
                      <a:t>万元，占</a:t>
                    </a:r>
                    <a:r>
                      <a:rPr lang="en-US" altLang="zh-CN" sz="900" b="1"/>
                      <a:t>59.35%</a:t>
                    </a:r>
                    <a:endParaRPr lang="en-US" altLang="en-US" sz="9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社会保障和就业支出</c:v>
                </c:pt>
                <c:pt idx="1">
                  <c:v>卫生健康支出</c:v>
                </c:pt>
                <c:pt idx="2">
                  <c:v>住房保障支出</c:v>
                </c:pt>
                <c:pt idx="3">
                  <c:v>资源勘探信息等支出</c:v>
                </c:pt>
              </c:strCache>
            </c:strRef>
          </c:cat>
          <c:val>
            <c:numRef>
              <c:f>Sheet1!$B$2:$B$5</c:f>
              <c:numCache>
                <c:formatCode>General</c:formatCode>
                <c:ptCount val="4"/>
                <c:pt idx="0">
                  <c:v>610.94</c:v>
                </c:pt>
                <c:pt idx="1">
                  <c:v>69.06</c:v>
                </c:pt>
                <c:pt idx="2">
                  <c:v>175.27</c:v>
                </c:pt>
                <c:pt idx="3">
                  <c:v>1248.75</c:v>
                </c:pt>
              </c:numCache>
            </c:numRef>
          </c:val>
        </c:ser>
        <c:dLbls>
          <c:showLegendKey val="0"/>
          <c:showVal val="1"/>
          <c:showCatName val="0"/>
          <c:showSerName val="0"/>
          <c:showPercent val="0"/>
          <c:showBubbleSize val="0"/>
        </c:dLbls>
      </c:pie3DChart>
    </c:plotArea>
    <c:legend>
      <c:legendPos val="r"/>
      <c:layout>
        <c:manualLayout>
          <c:xMode val="edge"/>
          <c:yMode val="edge"/>
          <c:x val="0.727508650519031"/>
          <c:y val="0.46528687450877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15</Pages>
  <Words>4171</Words>
  <Characters>4522</Characters>
  <Lines>61</Lines>
  <Paragraphs>17</Paragraphs>
  <TotalTime>1</TotalTime>
  <ScaleCrop>false</ScaleCrop>
  <LinksUpToDate>false</LinksUpToDate>
  <CharactersWithSpaces>4542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yys</cp:lastModifiedBy>
  <cp:lastPrinted>2022-08-06T02:23:00Z</cp:lastPrinted>
  <dcterms:modified xsi:type="dcterms:W3CDTF">2022-09-08T07:08:55Z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F57E416D82714F32AAD9B4794D921DB0</vt:lpwstr>
  </property>
</Properties>
</file>